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C8" w:rsidRDefault="00305FC8" w:rsidP="008E396A"/>
    <w:p w:rsidR="00C4707F" w:rsidRDefault="00C4707F" w:rsidP="008E396A"/>
    <w:p w:rsidR="00ED7BE3" w:rsidRDefault="00ED7BE3" w:rsidP="008E396A"/>
    <w:p w:rsidR="00305FC8" w:rsidRDefault="00305FC8" w:rsidP="00305FC8">
      <w:pPr>
        <w:spacing w:after="200"/>
        <w:jc w:val="center"/>
        <w:rPr>
          <w:rFonts w:asciiTheme="minorHAnsi" w:hAnsiTheme="minorHAnsi"/>
          <w:b/>
          <w:smallCaps/>
          <w:sz w:val="56"/>
          <w:szCs w:val="56"/>
        </w:rPr>
      </w:pPr>
    </w:p>
    <w:p w:rsidR="00305FC8" w:rsidRPr="0029156A" w:rsidRDefault="00305FC8" w:rsidP="00305FC8">
      <w:pPr>
        <w:spacing w:after="200"/>
        <w:jc w:val="center"/>
        <w:rPr>
          <w:b/>
          <w:smallCaps/>
          <w:sz w:val="48"/>
          <w:szCs w:val="48"/>
        </w:rPr>
      </w:pPr>
      <w:r w:rsidRPr="0029156A">
        <w:rPr>
          <w:b/>
          <w:smallCaps/>
          <w:sz w:val="48"/>
          <w:szCs w:val="48"/>
        </w:rPr>
        <w:t xml:space="preserve">A Nemzeti </w:t>
      </w:r>
    </w:p>
    <w:p w:rsidR="00305FC8" w:rsidRPr="0029156A" w:rsidRDefault="00305FC8" w:rsidP="00305FC8">
      <w:pPr>
        <w:spacing w:after="200"/>
        <w:jc w:val="center"/>
        <w:rPr>
          <w:b/>
          <w:smallCaps/>
          <w:sz w:val="48"/>
          <w:szCs w:val="48"/>
        </w:rPr>
      </w:pPr>
      <w:r w:rsidRPr="0029156A">
        <w:rPr>
          <w:b/>
          <w:smallCaps/>
          <w:sz w:val="48"/>
          <w:szCs w:val="48"/>
        </w:rPr>
        <w:t xml:space="preserve">Élelmiszerlánc-biztonsági Hivatal </w:t>
      </w:r>
    </w:p>
    <w:p w:rsidR="00305FC8" w:rsidRPr="0029156A" w:rsidRDefault="00305FC8" w:rsidP="00305FC8">
      <w:pPr>
        <w:spacing w:after="200"/>
        <w:jc w:val="center"/>
        <w:rPr>
          <w:b/>
          <w:smallCaps/>
          <w:sz w:val="48"/>
          <w:szCs w:val="48"/>
        </w:rPr>
      </w:pPr>
      <w:r w:rsidRPr="0029156A">
        <w:rPr>
          <w:b/>
          <w:smallCaps/>
          <w:sz w:val="48"/>
          <w:szCs w:val="48"/>
        </w:rPr>
        <w:t>201</w:t>
      </w:r>
      <w:r w:rsidR="009E46AF">
        <w:rPr>
          <w:b/>
          <w:smallCaps/>
          <w:sz w:val="48"/>
          <w:szCs w:val="48"/>
        </w:rPr>
        <w:t>6</w:t>
      </w:r>
      <w:r w:rsidRPr="0029156A">
        <w:rPr>
          <w:b/>
          <w:smallCaps/>
          <w:sz w:val="48"/>
          <w:szCs w:val="48"/>
        </w:rPr>
        <w:t xml:space="preserve">. évi </w:t>
      </w:r>
    </w:p>
    <w:p w:rsidR="00305FC8" w:rsidRPr="0029156A" w:rsidRDefault="00305FC8" w:rsidP="00305FC8">
      <w:pPr>
        <w:spacing w:after="200"/>
        <w:jc w:val="center"/>
        <w:rPr>
          <w:b/>
          <w:sz w:val="48"/>
          <w:szCs w:val="48"/>
        </w:rPr>
      </w:pPr>
      <w:r w:rsidRPr="0029156A">
        <w:rPr>
          <w:b/>
          <w:smallCaps/>
          <w:sz w:val="48"/>
          <w:szCs w:val="48"/>
        </w:rPr>
        <w:t>szöveges beszámolója</w:t>
      </w:r>
      <w:r w:rsidRPr="0029156A">
        <w:rPr>
          <w:b/>
          <w:sz w:val="48"/>
          <w:szCs w:val="48"/>
        </w:rPr>
        <w:t xml:space="preserve"> </w:t>
      </w:r>
    </w:p>
    <w:p w:rsidR="00305FC8" w:rsidRDefault="00305FC8" w:rsidP="00305FC8">
      <w:pPr>
        <w:spacing w:after="200"/>
        <w:jc w:val="center"/>
        <w:rPr>
          <w:rFonts w:asciiTheme="minorHAnsi" w:hAnsiTheme="minorHAnsi"/>
          <w:b/>
          <w:sz w:val="72"/>
          <w:szCs w:val="72"/>
        </w:rPr>
      </w:pPr>
    </w:p>
    <w:p w:rsidR="00846D89" w:rsidRDefault="00EE5508" w:rsidP="00305FC8">
      <w:pPr>
        <w:spacing w:after="200"/>
        <w:jc w:val="center"/>
        <w:rPr>
          <w:b/>
        </w:rPr>
      </w:pPr>
      <w:r>
        <w:rPr>
          <w:noProof/>
        </w:rPr>
        <w:drawing>
          <wp:inline distT="0" distB="0" distL="0" distR="0">
            <wp:extent cx="5759450" cy="3242481"/>
            <wp:effectExtent l="0" t="0" r="0" b="0"/>
            <wp:docPr id="1" name="Kép 5" descr="https://intra.nebih.gov.hu/dokumentumtar/ArculatiElemek/N%C3%89BIH_logo/Logo%20szlogennel/N%C3%89BIH_logo_szlogennel_sz%C3%ADn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tra.nebih.gov.hu/dokumentumtar/ArculatiElemek/N%C3%89BIH_logo/Logo%20szlogennel/N%C3%89BIH_logo_szlogennel_sz%C3%ADn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4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DAC" w:rsidRDefault="00112DAC" w:rsidP="00305FC8">
      <w:pPr>
        <w:spacing w:after="200"/>
        <w:jc w:val="center"/>
        <w:rPr>
          <w:b/>
        </w:rPr>
      </w:pPr>
    </w:p>
    <w:p w:rsidR="00846D89" w:rsidRDefault="00846D89" w:rsidP="00EE5508">
      <w:pPr>
        <w:spacing w:after="200"/>
        <w:jc w:val="left"/>
        <w:rPr>
          <w:b/>
        </w:rPr>
      </w:pPr>
    </w:p>
    <w:p w:rsidR="00EE5508" w:rsidRDefault="00EE5508" w:rsidP="00EE5508">
      <w:pPr>
        <w:spacing w:after="200"/>
        <w:jc w:val="left"/>
        <w:rPr>
          <w:b/>
        </w:rPr>
      </w:pPr>
    </w:p>
    <w:p w:rsidR="00B552DE" w:rsidRDefault="00B552DE">
      <w:pPr>
        <w:jc w:val="left"/>
        <w:rPr>
          <w:rFonts w:eastAsiaTheme="majorEastAsia" w:cstheme="majorBidi"/>
          <w:b/>
          <w:bCs/>
          <w:i/>
          <w:sz w:val="28"/>
          <w:szCs w:val="28"/>
        </w:rPr>
      </w:pPr>
      <w:r>
        <w:br w:type="page"/>
      </w:r>
    </w:p>
    <w:p w:rsidR="00305FC8" w:rsidRPr="00272597" w:rsidRDefault="00FA321F" w:rsidP="004C165D">
      <w:pPr>
        <w:pStyle w:val="Cmsor1"/>
      </w:pPr>
      <w:r w:rsidRPr="00272597">
        <w:lastRenderedPageBreak/>
        <w:t xml:space="preserve">I. </w:t>
      </w:r>
      <w:r w:rsidR="00305FC8" w:rsidRPr="00272597">
        <w:t>A</w:t>
      </w:r>
      <w:r w:rsidR="00D95A67">
        <w:t xml:space="preserve"> </w:t>
      </w:r>
      <w:r w:rsidR="00305FC8" w:rsidRPr="00272597">
        <w:t>NÉBIH feladatköre, szakmai tevékenysége</w:t>
      </w:r>
    </w:p>
    <w:p w:rsidR="00305FC8" w:rsidRPr="00405A2C" w:rsidRDefault="00305FC8" w:rsidP="00305FC8">
      <w:pPr>
        <w:rPr>
          <w:b/>
        </w:rPr>
      </w:pPr>
    </w:p>
    <w:p w:rsidR="00305FC8" w:rsidRPr="004109DC" w:rsidRDefault="00305FC8" w:rsidP="00305FC8">
      <w:r w:rsidRPr="00405A2C">
        <w:t xml:space="preserve">A </w:t>
      </w:r>
      <w:r w:rsidRPr="00405A2C">
        <w:rPr>
          <w:b/>
          <w:i/>
        </w:rPr>
        <w:t>Nemzeti Élelmiszerlánc-biztonsági Hivatal</w:t>
      </w:r>
      <w:r w:rsidRPr="00405A2C">
        <w:t xml:space="preserve"> (</w:t>
      </w:r>
      <w:r w:rsidRPr="004109DC">
        <w:t>továbbiakban: NÉBIH) 2012. március 15-én jött létre</w:t>
      </w:r>
      <w:r w:rsidR="00334D27" w:rsidRPr="004109DC">
        <w:t>,</w:t>
      </w:r>
      <w:r w:rsidRPr="004109DC">
        <w:t xml:space="preserve"> törzskönyvi azonosító sz</w:t>
      </w:r>
      <w:r w:rsidR="004109DC" w:rsidRPr="004109DC">
        <w:t>áma: 598349, tulajdonosi joggyakorlóként TJ598349.</w:t>
      </w:r>
    </w:p>
    <w:p w:rsidR="00305FC8" w:rsidRDefault="00305FC8" w:rsidP="00305FC8">
      <w:r w:rsidRPr="00405A2C">
        <w:t>A Hivatal honlapjának címe</w:t>
      </w:r>
      <w:r w:rsidR="00334D27">
        <w:t>:</w:t>
      </w:r>
      <w:r w:rsidR="001722E5">
        <w:t xml:space="preserve"> </w:t>
      </w:r>
      <w:hyperlink r:id="rId10" w:history="1">
        <w:r w:rsidR="001722E5" w:rsidRPr="001F032C">
          <w:rPr>
            <w:rStyle w:val="Hiperhivatkozs"/>
          </w:rPr>
          <w:t>http://portal.nebih.gov.hu</w:t>
        </w:r>
      </w:hyperlink>
      <w:r w:rsidR="000334C5">
        <w:t>, de</w:t>
      </w:r>
      <w:r w:rsidR="009E46AF">
        <w:t xml:space="preserve"> ezen felül 9 db tematikus portált működtet</w:t>
      </w:r>
      <w:r w:rsidR="000334C5">
        <w:t>ünk</w:t>
      </w:r>
      <w:r w:rsidR="009E46AF">
        <w:t>.</w:t>
      </w:r>
      <w:r w:rsidR="001722E5">
        <w:t xml:space="preserve"> A Hivatal 2014-től mobilapplikáción keresztül is fogad bejelentéseket és tesz közzé híreket.</w:t>
      </w:r>
      <w:r w:rsidRPr="00405A2C">
        <w:t xml:space="preserve"> </w:t>
      </w:r>
    </w:p>
    <w:p w:rsidR="004109DC" w:rsidRDefault="004109DC" w:rsidP="00305FC8">
      <w:pPr>
        <w:rPr>
          <w:i/>
        </w:rPr>
      </w:pPr>
    </w:p>
    <w:p w:rsidR="001722E5" w:rsidRDefault="00305FC8" w:rsidP="001722E5">
      <w:r w:rsidRPr="00405A2C">
        <w:rPr>
          <w:i/>
        </w:rPr>
        <w:t>A Nemzeti Élelmiszerlánc-biztonsági Hivatalról</w:t>
      </w:r>
      <w:r w:rsidRPr="00405A2C">
        <w:t xml:space="preserve"> szóló 22/2012. (II. 29.) Korm. rendelet alapján a NÉBIH </w:t>
      </w:r>
      <w:r w:rsidR="00412F4E">
        <w:t>2016. december 31-ig működött</w:t>
      </w:r>
      <w:r w:rsidR="00364582">
        <w:t>,</w:t>
      </w:r>
      <w:r w:rsidR="00412F4E">
        <w:t xml:space="preserve"> mint kijelölt</w:t>
      </w:r>
      <w:r w:rsidR="00364582">
        <w:t xml:space="preserve"> </w:t>
      </w:r>
      <w:r w:rsidR="001722E5">
        <w:t>növénytermesztési</w:t>
      </w:r>
      <w:r w:rsidR="00364582">
        <w:t xml:space="preserve"> hatóság</w:t>
      </w:r>
      <w:r w:rsidR="001722E5">
        <w:t>,</w:t>
      </w:r>
      <w:r w:rsidR="00364582">
        <w:t xml:space="preserve"> </w:t>
      </w:r>
      <w:r w:rsidR="001722E5">
        <w:t>talajvédelmi hatóság,</w:t>
      </w:r>
      <w:r w:rsidR="00364582">
        <w:t xml:space="preserve"> </w:t>
      </w:r>
      <w:r w:rsidR="001722E5">
        <w:t>élelmiszerlánc-felügyeleti szerv,</w:t>
      </w:r>
      <w:r w:rsidR="00364582">
        <w:t xml:space="preserve"> </w:t>
      </w:r>
      <w:r w:rsidR="001722E5">
        <w:t>tenyésztési hatóság,</w:t>
      </w:r>
      <w:r w:rsidR="00364582">
        <w:t xml:space="preserve"> </w:t>
      </w:r>
      <w:r w:rsidR="001722E5">
        <w:t>erdészeti hatóság,</w:t>
      </w:r>
      <w:r w:rsidR="00364582">
        <w:t xml:space="preserve"> </w:t>
      </w:r>
      <w:r w:rsidR="001722E5">
        <w:t xml:space="preserve"> vadászati hatóság,</w:t>
      </w:r>
      <w:r w:rsidR="00364582">
        <w:t xml:space="preserve"> </w:t>
      </w:r>
      <w:r w:rsidR="001722E5">
        <w:t>halgazdálkodási hatóság</w:t>
      </w:r>
      <w:r w:rsidR="00364582">
        <w:t xml:space="preserve">, </w:t>
      </w:r>
      <w:r w:rsidR="001722E5">
        <w:t>borászati hatóság,</w:t>
      </w:r>
      <w:r w:rsidR="00364582">
        <w:t xml:space="preserve"> mezőgazdasági igazgatási szerv és </w:t>
      </w:r>
      <w:r w:rsidR="001722E5">
        <w:t>pálinkaellenőrző</w:t>
      </w:r>
      <w:r w:rsidR="00412F4E">
        <w:t xml:space="preserve"> hatóság.</w:t>
      </w:r>
    </w:p>
    <w:p w:rsidR="00412F4E" w:rsidRDefault="00412F4E" w:rsidP="001722E5"/>
    <w:p w:rsidR="001732CD" w:rsidRPr="00412F4E" w:rsidRDefault="00305FC8" w:rsidP="001732CD">
      <w:r w:rsidRPr="00412F4E">
        <w:t>A Hivatal tevékenységét or</w:t>
      </w:r>
      <w:r w:rsidR="00A0656F" w:rsidRPr="00412F4E">
        <w:t>sz</w:t>
      </w:r>
      <w:r w:rsidR="001732CD" w:rsidRPr="00412F4E">
        <w:t>ágos illetékességgel látja el,</w:t>
      </w:r>
      <w:r w:rsidRPr="00412F4E">
        <w:t xml:space="preserve"> </w:t>
      </w:r>
      <w:r w:rsidR="00A0656F" w:rsidRPr="00412F4E">
        <w:t>kiemelt élelmiszer</w:t>
      </w:r>
      <w:r w:rsidR="004109DC" w:rsidRPr="00412F4E">
        <w:t>lánc-</w:t>
      </w:r>
      <w:r w:rsidR="00A0656F" w:rsidRPr="00412F4E">
        <w:t>biztonsági ellenőrzés</w:t>
      </w:r>
      <w:r w:rsidR="001732CD" w:rsidRPr="00412F4E">
        <w:t>ek</w:t>
      </w:r>
      <w:r w:rsidR="0049159D" w:rsidRPr="00412F4E">
        <w:t>e</w:t>
      </w:r>
      <w:r w:rsidR="00A0656F" w:rsidRPr="00412F4E">
        <w:t xml:space="preserve">t végez. </w:t>
      </w:r>
      <w:r w:rsidRPr="00412F4E">
        <w:t xml:space="preserve">A NÉBIH országos laboratóriumi hálózatot, továbbá fajtakísérleti állomásokat és fajtakitermesztő állomást működtet. </w:t>
      </w:r>
      <w:r w:rsidR="001732CD" w:rsidRPr="00412F4E">
        <w:t>A NÉBIH feladatkörébe tartozik 2012-től az élelmiszerlánc-</w:t>
      </w:r>
      <w:r w:rsidR="00C20D57" w:rsidRPr="00412F4E">
        <w:t>felügyeleti</w:t>
      </w:r>
      <w:r w:rsidR="001732CD" w:rsidRPr="00412F4E">
        <w:t xml:space="preserve"> díj bevallások és befizetések kezelése, nyilvántartása és ellenőrzése</w:t>
      </w:r>
      <w:r w:rsidR="00364582">
        <w:t xml:space="preserve"> is</w:t>
      </w:r>
      <w:r w:rsidR="001732CD" w:rsidRPr="00412F4E">
        <w:t>.</w:t>
      </w:r>
    </w:p>
    <w:p w:rsidR="00412F4E" w:rsidRDefault="00412F4E" w:rsidP="001732CD">
      <w:pPr>
        <w:rPr>
          <w:b/>
        </w:rPr>
      </w:pPr>
    </w:p>
    <w:p w:rsidR="00412F4E" w:rsidRPr="00412F4E" w:rsidRDefault="00412F4E" w:rsidP="001732CD">
      <w:r w:rsidRPr="00412F4E">
        <w:t>A megyei kormányhivatalok a NÉBIH által kiadott szakmai eljárásrendek, útmutatók, minőségirányítási elvek, valamint</w:t>
      </w:r>
      <w:r>
        <w:t xml:space="preserve"> a NÉBIH által biztosított szakmai informatikai rendszerek használatával</w:t>
      </w:r>
      <w:r w:rsidRPr="00412F4E">
        <w:t xml:space="preserve"> látják el feladataikat</w:t>
      </w:r>
      <w:r>
        <w:t xml:space="preserve">. </w:t>
      </w:r>
      <w:r w:rsidRPr="00412F4E">
        <w:t>A többéves nemzeti ellenőrzési terv előkészítését és végrehajtását a NÉBIH koordinálja.</w:t>
      </w:r>
    </w:p>
    <w:p w:rsidR="00305FC8" w:rsidRDefault="00305FC8" w:rsidP="00305FC8"/>
    <w:p w:rsidR="00A0656F" w:rsidRDefault="00A0656F" w:rsidP="00305FC8">
      <w:r w:rsidRPr="00A0656F">
        <w:t>A NÉBIH ellátja a nemzetközi kapcsolattartással összefüggő feladatokat az Európai Élelmiszer-biztonsági Hivatal hazai partnerintézményeként, emellett kijelölt nemzeti kapcsolattartó pont az Európai Unió élelmiszerekre és takarmányokra vonatkozó gyors vészjelző rendszerében (RASFF). Együttműködik a WHO-val és a FAO-val, részt vesz a Codex Alimentarius munkájában, közreműködik az Analitikai és Mintavételi Módszerek szakbizottságának (CCMAS) titkársági feladataiban és szervezi annak éves üléseit.</w:t>
      </w:r>
    </w:p>
    <w:p w:rsidR="0053385B" w:rsidRDefault="0053385B" w:rsidP="00305FC8"/>
    <w:p w:rsidR="0053385B" w:rsidRDefault="0053385B" w:rsidP="00305FC8">
      <w:r>
        <w:t>2014-ben az élelmiszerláncról és hatósági felügyeletéről szóló 2008. évi XLVI. törvény (Éltv.) 39/D. §-a alapján  a NÉBIH tulajdonosi joggyakorlásával létrehozásra került az</w:t>
      </w:r>
      <w:r w:rsidRPr="0053385B">
        <w:t xml:space="preserve"> Élelmiszerlánc-biztonsági Centrum Nonprofit Korlátolt Felelősségű Társaság</w:t>
      </w:r>
      <w:r w:rsidR="00421BE4">
        <w:t xml:space="preserve"> (ÉLBC Kft.)</w:t>
      </w:r>
      <w:r w:rsidR="00412F4E">
        <w:t>, amely ellát egyes, az élelmiszerlánc-felügyelethez kapcsolódó közfeladatokat.</w:t>
      </w:r>
    </w:p>
    <w:p w:rsidR="00F75181" w:rsidRDefault="00F75181" w:rsidP="00305FC8"/>
    <w:p w:rsidR="00F75181" w:rsidRDefault="00F75181" w:rsidP="00305FC8">
      <w:r>
        <w:t xml:space="preserve">A </w:t>
      </w:r>
      <w:r w:rsidR="00364582">
        <w:t>NÉBIH</w:t>
      </w:r>
      <w:r>
        <w:t xml:space="preserve"> vállalkozási tevékenységet nem végez.</w:t>
      </w:r>
    </w:p>
    <w:p w:rsidR="008D47FE" w:rsidRDefault="008D47FE" w:rsidP="00305FC8"/>
    <w:p w:rsidR="008D47FE" w:rsidRDefault="00412F4E" w:rsidP="008D47FE">
      <w:r>
        <w:t>A</w:t>
      </w:r>
      <w:r w:rsidR="008D47FE">
        <w:t xml:space="preserve"> Kormány </w:t>
      </w:r>
      <w:r w:rsidR="008D47FE" w:rsidRPr="00412F4E">
        <w:rPr>
          <w:b/>
        </w:rPr>
        <w:t>1703/2013. (X.8.) határozatával fogadta el az Élelmiszerlánc-biztonsági Stratégiát</w:t>
      </w:r>
      <w:r w:rsidR="008D47FE">
        <w:t xml:space="preserve"> (</w:t>
      </w:r>
      <w:r w:rsidR="00E843D1">
        <w:t>Továbbiakban: ÉLBS</w:t>
      </w:r>
      <w:r w:rsidR="008D47FE">
        <w:t xml:space="preserve">), </w:t>
      </w:r>
      <w:r w:rsidR="00E843D1">
        <w:t>a</w:t>
      </w:r>
      <w:r w:rsidR="008D47FE">
        <w:t xml:space="preserve">mely </w:t>
      </w:r>
      <w:r w:rsidR="00E843D1">
        <w:t xml:space="preserve">mint </w:t>
      </w:r>
      <w:r w:rsidR="008D47FE">
        <w:t xml:space="preserve">nemzeti középtávú stratégia 2022-ig határozza meg az élelmiszerlánccal kapcsolatos legfontosabb célokat és feladatokat </w:t>
      </w:r>
      <w:r w:rsidR="008D47FE" w:rsidRPr="008D47FE">
        <w:t>4 stratégiai cél és 11 program</w:t>
      </w:r>
      <w:r w:rsidR="008D47FE">
        <w:t xml:space="preserve"> </w:t>
      </w:r>
      <w:r w:rsidR="0053385B">
        <w:t>mentén</w:t>
      </w:r>
      <w:r w:rsidR="008D47FE">
        <w:t>. A stratégia végrehajtásáért elsődlegesen Földművelésügyi Minisztérium a felelős a Nemzeti Élelmiszerlánc-biztonsági Hivatallal együttműködv</w:t>
      </w:r>
      <w:r w:rsidR="0053385B">
        <w:t>e</w:t>
      </w:r>
      <w:r>
        <w:t xml:space="preserve"> és</w:t>
      </w:r>
      <w:r w:rsidR="0053385B">
        <w:t xml:space="preserve"> bevonva a</w:t>
      </w:r>
      <w:r w:rsidR="008D47FE">
        <w:t xml:space="preserve"> megyei kormányhivatalokat.</w:t>
      </w:r>
    </w:p>
    <w:p w:rsidR="00E35F65" w:rsidRDefault="00E35F65" w:rsidP="008D47FE"/>
    <w:p w:rsidR="001732CD" w:rsidRPr="001732CD" w:rsidRDefault="00FA321F" w:rsidP="00305FC8">
      <w:r w:rsidRPr="006778BE">
        <w:t xml:space="preserve">Az Éltv. 47/C. §-a alapján az élelmiszerlánc-biztonsági stratégia, a több éves terv és éves ellenőrzési terv végrehajtásáról, a célok teljesüléséről, valamint a felügyeleti díj felhasználásáról az élelmiszerlánc-biztonsági jelentés keretében az országos főállatorvos </w:t>
      </w:r>
      <w:r w:rsidRPr="006778BE">
        <w:lastRenderedPageBreak/>
        <w:t xml:space="preserve">évente beszámol az Országgyűlésnek, melyet tárgyévet követő év június 30-ig kell az Országgyűlés elé terjeszteni. </w:t>
      </w:r>
      <w:r w:rsidRPr="00753B03">
        <w:rPr>
          <w:b/>
        </w:rPr>
        <w:t>Az Éltv. 47/B. §-ának (11) bekezdése alapján a NÉBIH április 30-ig jelentést állít össze az országos főállatorvosnak.</w:t>
      </w:r>
      <w:r w:rsidRPr="006778BE">
        <w:t xml:space="preserve"> </w:t>
      </w:r>
      <w:r w:rsidRPr="006778BE">
        <w:rPr>
          <w:b/>
        </w:rPr>
        <w:t>A NÉBIH szakmai működéséről szóló részletes beszámolót az Éltv.-ben meghatározott jelentések tartalmazzák, illetve azok részeként kerül elfogadásra</w:t>
      </w:r>
      <w:r w:rsidR="001732CD" w:rsidRPr="006778BE">
        <w:rPr>
          <w:b/>
        </w:rPr>
        <w:t xml:space="preserve">. </w:t>
      </w:r>
      <w:r w:rsidR="00412F4E" w:rsidRPr="00412F4E">
        <w:t xml:space="preserve">A NÉBIH Erdészeti Igazgatósága az erdőkről, az erdők egészségi állapotáról és az erdőgazdálkodásról minden évzárás adattári átvezetése után a következő évben részletes Erdőbeszámolót készít </w:t>
      </w:r>
      <w:r w:rsidR="00364582">
        <w:t>a Minisztérium</w:t>
      </w:r>
      <w:r w:rsidR="00412F4E" w:rsidRPr="00412F4E">
        <w:t xml:space="preserve"> részére</w:t>
      </w:r>
      <w:r w:rsidR="00412F4E">
        <w:t xml:space="preserve">. </w:t>
      </w:r>
      <w:r w:rsidR="001732CD" w:rsidRPr="006778BE">
        <w:t xml:space="preserve">Az éves </w:t>
      </w:r>
      <w:r w:rsidR="00364582">
        <w:t xml:space="preserve">szakmai </w:t>
      </w:r>
      <w:r w:rsidR="001732CD" w:rsidRPr="006778BE">
        <w:t>jelentések jóváhagyásáig a NÉBIH 201</w:t>
      </w:r>
      <w:r w:rsidR="00412F4E">
        <w:t>6</w:t>
      </w:r>
      <w:r w:rsidR="001732CD" w:rsidRPr="006778BE">
        <w:t>-ös tevékenységeiből az alábbiakat emeljük ki:</w:t>
      </w:r>
    </w:p>
    <w:p w:rsidR="00A0656F" w:rsidRDefault="00FA321F" w:rsidP="00305FC8">
      <w:pPr>
        <w:rPr>
          <w:b/>
        </w:rPr>
      </w:pPr>
      <w:r w:rsidRPr="00FA321F">
        <w:rPr>
          <w:b/>
        </w:rPr>
        <w:t xml:space="preserve"> </w:t>
      </w:r>
    </w:p>
    <w:p w:rsidR="00247795" w:rsidRDefault="00247795" w:rsidP="00247795">
      <w:r>
        <w:t>Az Európai Unió felmérése szerint 2006 óta a kábítószer után az élelmiszerrel kapcsolatos visszaélés a legnagyobb üzlet. A visszaélések felderítésére 3 európai országban hoztak létre központi speciális egységeket (Olaszország, Dánia, Magyarország). A magyar lakosság és a hazai élelmiszerlánc biztonsága iránt elkötelezett szervezet eredményei magukért beszélnek: többek között 9,5 milliárd forint ÁFA- és adóelkerülés megakadályozása, több mint 12 millió laborvizsgálat és fél tucat sikeres szemléletformáló kampány a mérleg.</w:t>
      </w:r>
    </w:p>
    <w:p w:rsidR="00247795" w:rsidRDefault="00247795" w:rsidP="00247795">
      <w:pPr>
        <w:rPr>
          <w:b/>
        </w:rPr>
      </w:pPr>
    </w:p>
    <w:p w:rsidR="0088157A" w:rsidRDefault="00247795" w:rsidP="00247795">
      <w:r>
        <w:t xml:space="preserve">A NÉBIH központi ellenőrzéseinek hatékonysága továbbra is mintegy 92%-os. A hivatal gyors reagálású, operatív jellegű ellenőrzéseket végző részlege, a </w:t>
      </w:r>
      <w:r>
        <w:rPr>
          <w:b/>
          <w:i/>
        </w:rPr>
        <w:t>Kiemelt Ügyek Igazgatósága (KÜI)</w:t>
      </w:r>
      <w:r>
        <w:t xml:space="preserve"> 2016-ban is számos esetben derített fel illegális tevékenységeket, majd hozott nyilvánosságra élelmiszerlánc-hamisítási, csalási ügyeket.</w:t>
      </w:r>
    </w:p>
    <w:p w:rsidR="00247795" w:rsidRDefault="00247795" w:rsidP="00247795">
      <w:r>
        <w:rPr>
          <w:b/>
        </w:rPr>
        <w:t xml:space="preserve"> </w:t>
      </w:r>
    </w:p>
    <w:p w:rsidR="00247795" w:rsidRDefault="00247795" w:rsidP="00247795">
      <w:r>
        <w:t xml:space="preserve">Országos szinten folytatódott tavaly az illegálisan működő, többek között internetes kereskedelmet folytató vállalkozások tevékenységének ellenőrzése (például növényvédő szert, vetőburgonyát hirdetők), a húst és húskészítményt áruló kereskedések, a webáruházak és beszállítóik, a reform élelmiszergyártók és-forgalmazók, a növényi termékeket előállítók vizsgálata, borászati termékek ellenőrzése, külföldi tej és tejtermékek, lengyel eredetű tojások és az </w:t>
      </w:r>
      <w:r w:rsidR="00196281">
        <w:t>étrend-kiegészítők</w:t>
      </w:r>
      <w:r>
        <w:t xml:space="preserve"> célellenőrzése. A NÉBIH adatbázisaiban, valamint az EKAER rendszerben történő adatelemzésekkel, számos eredményes lánc ellenőrzést hajtottak végre a NÉBIH szakemberei. A NÉBIH 2016-ban összesen 705 ellenőrzést hajtott végre. Ez 2.472 tonna élelmiszert érintett. A megindított eljárások során közel 399 millió Ft bírságot szabott ki. </w:t>
      </w:r>
    </w:p>
    <w:p w:rsidR="00247795" w:rsidRDefault="00247795" w:rsidP="00247795"/>
    <w:p w:rsidR="00247795" w:rsidRDefault="00247795" w:rsidP="00247795">
      <w:r>
        <w:t>A hamisítás elleni fellépés hatékonyságát tovább növeli az Országos Gyógyszerészeti és Élelmezés-Egészségügyi Intézettel (OGYÉI) előkészítés alatt álló együttműködési megállapodás, valamint a Hamisítás Elleni Nemzeti Testülettel (HENT), a Tej Terméktanáccsal és az Országos Magyar Méhészeti Egyesülettel (OMME) meglévő szoros együttműködés.</w:t>
      </w:r>
    </w:p>
    <w:p w:rsidR="00247795" w:rsidRDefault="00247795" w:rsidP="00247795"/>
    <w:p w:rsidR="00247795" w:rsidRDefault="00247795" w:rsidP="00247795">
      <w:r>
        <w:t xml:space="preserve">Az élelmiszerlánc szereplők tevékenységének hatékony élelmiszerlánc-felügyeleti </w:t>
      </w:r>
      <w:r w:rsidR="00196281">
        <w:t>nyomon követése</w:t>
      </w:r>
      <w:r>
        <w:t xml:space="preserve"> érdekében az elmúlt években bevezetésre került </w:t>
      </w:r>
      <w:r>
        <w:rPr>
          <w:b/>
        </w:rPr>
        <w:t>az élelmiszerlánc-felügyeleti információs rendszer (FELIR)</w:t>
      </w:r>
      <w:r>
        <w:t xml:space="preserve">. Ennek révén az élelmiszerlánc valamennyi szereplője (őstermelőtől a multinacionális cégekig mintegy 350 ezer ügyfél) megkapta a FELIR-azonosítóját, a nyilvántartásba vételi és engedélyezési folyamatok pedig elektronikusan intézhetők. </w:t>
      </w:r>
    </w:p>
    <w:p w:rsidR="00247795" w:rsidRDefault="00247795" w:rsidP="00247795">
      <w:r>
        <w:t xml:space="preserve"> </w:t>
      </w:r>
    </w:p>
    <w:p w:rsidR="00247795" w:rsidRDefault="00247795" w:rsidP="00247795">
      <w:r>
        <w:t xml:space="preserve">2015-ben összeállításra került az </w:t>
      </w:r>
      <w:r w:rsidRPr="00247795">
        <w:rPr>
          <w:b/>
        </w:rPr>
        <w:t>Intelligens Élelmiszerlánc-biztonsági Elemző Rendszer</w:t>
      </w:r>
      <w:r>
        <w:t xml:space="preserve"> (</w:t>
      </w:r>
      <w:r>
        <w:rPr>
          <w:b/>
        </w:rPr>
        <w:t>INTEL</w:t>
      </w:r>
      <w:r>
        <w:t xml:space="preserve">) projekt szakmai koncepciója, </w:t>
      </w:r>
      <w:r>
        <w:rPr>
          <w:iCs/>
        </w:rPr>
        <w:t>–</w:t>
      </w:r>
      <w:r>
        <w:t xml:space="preserve"> ami részben a korábbi FELIR fejlesztésekre támaszkodik – amely alapján a projekt nevesítésre került a KÖFOP éves fejlesztési keretében </w:t>
      </w:r>
      <w:r>
        <w:lastRenderedPageBreak/>
        <w:t>is. Ezt követően 2015 szeptemberében megkezdődött a projekt támogatási kérelmének és közbeszerzési eljárásának előkészítése. A projekt legfőbb célja egy, az egész élelmiszerláncon koherensen végigvonuló korszerű kockázatelemzési rendszer kialakítása és alkalmazása. A projekt támogatási kérelmét 2016 februárjában nyújtotta be a Hivatal, a felmerült hiánypótlások és tisztázó kérdések megválaszolását követően 2016 júliusában született meg a feltételes támogató döntés, amely alapján ún. nem megkezdhető projektre történt támogatási szerződés kötése 2016. szeptember 1-jén. A NÉBIH benyújtotta a megkezdhető projektre vonatkozó támogatási szerződés módosítását és az erre vonatkozó hiánypótlást is teljesítette, jelenleg a döntésre vár. A fentiekkel párhuzamosan a NÉBIH 2016 májusa és szeptembere között lefolytatta a projekthez szükséges fejlesztésekre vonatkozó közbeszerzést, a vállalkozási szerződést 2016. szeptember 2-án kötötték meg. A szerződés hatályba lépésének előfeltétele a fenti támogatási szerződés módosítás elfogadása és hatályba lépése.</w:t>
      </w:r>
      <w:r>
        <w:br/>
        <w:t>Ezzel egy időben a NÉBIH határidőben, 2016. szeptember 15-i dátummal teljesítette a projekt első mérföldkövét, ezzel lezárult a projekt előkészítés szakasza, melynek eredményeképpen a pályázati és közbeszerzési dokumentáció elkészítésén túl részletekbe menő szakmai felmérésekre került sor, amelyek a fejlesztés alapjául szolgálnak majd.</w:t>
      </w:r>
      <w:r>
        <w:br/>
      </w:r>
    </w:p>
    <w:p w:rsidR="00247795" w:rsidRDefault="00247795" w:rsidP="00247795">
      <w:r>
        <w:t xml:space="preserve">A NÉBIH élelmiszerlánc-biztonsággal kapcsolatos közérdekű bejelentésekre létrehozott </w:t>
      </w:r>
      <w:r>
        <w:rPr>
          <w:b/>
        </w:rPr>
        <w:t>„Zöld Szám” bejelentő vonalára 11.255 db megkeresés érkezett</w:t>
      </w:r>
      <w:r>
        <w:t xml:space="preserve">, melyből a fogyasztók közel 1.800 esetben fordultak hatóságunkhoz különböző szakterületeket, legfőképpen élelmiszerbiztonságot, növény- és talajvédelmet érintő közérdekű bejelentéssekkel kapcsolatban. A </w:t>
      </w:r>
      <w:r>
        <w:rPr>
          <w:b/>
        </w:rPr>
        <w:t>hivatal központi általános ügyfélszolgálatára 2016. évben összesen 12.070 db telefonhívás valamint 4.580 db elektronikus levél érkezett</w:t>
      </w:r>
      <w:r>
        <w:t>, melyek jellemzően szakágazatot érintő komplex tájékoztatáskéréssel kapcsolatos megkeresések voltak. A NÉBIH hatósági munkájának, sajtómegjelenéseinek hatására is jelentősen megnövekedtek a megkeresések és visszajelzések a lakosság részéről, például a madárinfluenza, a veszettség, a parlagfű, a kadmium és kobalt szennyezett reggeliző készletek, a szalmonellával fertőzött tojásszállítmány, valamint a lefoglalt élelmiszerek forgalmazóit és bezárt vendéglátóegységeket összegyűjtő jogsértői lista kapcsán érkezett a legtöbb kérdés.</w:t>
      </w:r>
    </w:p>
    <w:p w:rsidR="00247795" w:rsidRDefault="00247795" w:rsidP="00247795">
      <w:pPr>
        <w:rPr>
          <w:b/>
        </w:rPr>
      </w:pPr>
    </w:p>
    <w:p w:rsidR="00247795" w:rsidRDefault="00247795" w:rsidP="00247795">
      <w:r>
        <w:rPr>
          <w:b/>
        </w:rPr>
        <w:t>Válságkezelés kapcsán kiemelendő a madárinfluenza járvány, mely európai méretű</w:t>
      </w:r>
      <w:r>
        <w:t xml:space="preserve"> </w:t>
      </w:r>
      <w:r w:rsidRPr="00247795">
        <w:rPr>
          <w:b/>
        </w:rPr>
        <w:t>állategészségügyi problémává vált</w:t>
      </w:r>
      <w:r>
        <w:t xml:space="preserve">. Gazdasági haszonállatoknál a NÉBIH Nemzeti Referencia Laboratóriuma először egy Békés megyei állományból mutatta ki </w:t>
      </w:r>
      <w:r w:rsidR="00196281">
        <w:t>magas</w:t>
      </w:r>
      <w:r w:rsidR="00196281">
        <w:t xml:space="preserve"> </w:t>
      </w:r>
      <w:r w:rsidR="00196281">
        <w:t>patogenítású</w:t>
      </w:r>
      <w:r>
        <w:t xml:space="preserve"> madárinfluenza (HPAI) vírus jelenlétét 2016. november 3-án. Az országos főállatorvos november 3-án elrendelte a földművelésügyi miniszter által, 2016. július 14-én jóváhagyott Válságkezelési Terv életbe léptetését, és az Országos Járványvédelmi Központ (OJK) felállítását. A járványkitörés 2016. november 4-én bejelentésre került az EU-nak és a Nemzetközi Állatjárványügyi Hivatalnak (OIE) is. Az országos főállatorvos ugyanekkor hivatalosan is tájékoztatta a magyarországi társhatóságokat, társszervezeteket (ME, valamennyi megyei Kormányhivatal, OKF, ORFK, OTH, NAV, NAK, BTT, Országos Vadászkamara, stb.). A kelebiai kitörés szerb-magyar határhoz való közelsége miatt a szerb hatóságot külön is értesítettük.  A normál mintaszám közel ötszörösét dolgozza fel a NÉBIH állategészségügyi referencia laboratóriuma. Jelentős humánerőforrás átcsoportosításokat kellett végrehajtani a laboratóriumon belül, hogy a molekuláris laboratórium 17 órás osztott műszakban tudja feldolgozni a naponta beérkező mintákat (csúcsidőben a mintaszám megközelítette a napi 3000 darabot is, ez a kapacitás, illetve a feldolgozás üteme az EU-ban is egyedülálló). Madárinfluenza felderítésére a háziszárnyasok és tenyésztett vadmadarak, továbbá vadon élő madarak mintái érkeztek, 110.255</w:t>
      </w:r>
      <w:r>
        <w:rPr>
          <w:color w:val="FF0000"/>
        </w:rPr>
        <w:t xml:space="preserve"> </w:t>
      </w:r>
      <w:r>
        <w:t xml:space="preserve">vizsgálatot végeztek. </w:t>
      </w:r>
      <w:r>
        <w:t xml:space="preserve">A beszámoló írásának időpontjában a gazdálkodóknak megállapított kártalanítás összege </w:t>
      </w:r>
      <w:r w:rsidRPr="00247795">
        <w:rPr>
          <w:b/>
        </w:rPr>
        <w:t>10,4 Mrd Ft</w:t>
      </w:r>
      <w:r>
        <w:t>.</w:t>
      </w:r>
    </w:p>
    <w:p w:rsidR="00247795" w:rsidRDefault="00247795" w:rsidP="00247795"/>
    <w:p w:rsidR="00247795" w:rsidRDefault="00247795" w:rsidP="00247795">
      <w:pPr>
        <w:rPr>
          <w:bCs/>
        </w:rPr>
      </w:pPr>
      <w:r>
        <w:rPr>
          <w:bCs/>
        </w:rPr>
        <w:t xml:space="preserve">A NÉBIH 2016. évben is folytatta a 2015. évben megkezdett kettős (tanácsadó és ellenőrző) programját, mellyel támogatja a harmadik országba irányuló élelmiszerexport sikerességét, így biztosítva a követelményeknek való egységes megfelelést. A program keretében, valamint a harmadik országi hatóságok szakemberei által végzett helyszíni ellenőrzések kísérőjeként 2016-ban a NÉBIH 84 ellenőrzést végzett. 2016-ban a NÉBIH elnyerte a jogot, hogy az Izraelbe exportálni kívánó létesítményeket elfogadja, így az USA exportra jelentkező létesítmények után Izraelbe is megkezdhetik a szállításokat, a NÉBIH engedélyével. </w:t>
      </w:r>
    </w:p>
    <w:p w:rsidR="00247795" w:rsidRDefault="00247795" w:rsidP="00247795">
      <w:pPr>
        <w:rPr>
          <w:bCs/>
        </w:rPr>
      </w:pPr>
    </w:p>
    <w:p w:rsidR="00247795" w:rsidRDefault="00247795" w:rsidP="00247795">
      <w:pPr>
        <w:rPr>
          <w:rFonts w:eastAsia="Calibri"/>
        </w:rPr>
      </w:pPr>
      <w:r>
        <w:t xml:space="preserve">2016. évben folytatódott a minőségvezérelt </w:t>
      </w:r>
      <w:r w:rsidRPr="00247795">
        <w:rPr>
          <w:b/>
        </w:rPr>
        <w:t>közétkeztetés projekt</w:t>
      </w:r>
      <w:r>
        <w:t xml:space="preserve">, az év végétől a tálaló-melegítőkonyhákra kiterjesztve. 2016. év végéig elvégeztünk 2.614 közétkeztető főzőkonyha (melyek összesen 1.091.522 étkezőt látnak el) és 281 tálaló-, melegítőkonyha (étkezők száma: 34.699 fő) élelmiszerbiztonsági és minőségi szempontok szerinti minősítését. </w:t>
      </w:r>
      <w:r>
        <w:rPr>
          <w:rFonts w:eastAsia="Calibri"/>
        </w:rPr>
        <w:t>A minősítéseket követően a konyhák üzemeltetetői a feltárt hibák javítására írásban egyedi, a konyhára szabott szakmai javaslatot kaptak a NÉBIH-től. A minősítéseket a NÉBIH az ÉLBC Kft. közreműködésével végzi.</w:t>
      </w:r>
    </w:p>
    <w:p w:rsidR="00247795" w:rsidRDefault="00247795" w:rsidP="00247795">
      <w:pPr>
        <w:rPr>
          <w:rFonts w:eastAsia="Calibri"/>
        </w:rPr>
      </w:pPr>
    </w:p>
    <w:p w:rsidR="00247795" w:rsidRDefault="00247795" w:rsidP="00247795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A NÉBIH kommunikációs tevékenysége továbbra is az Élelmiszerlánc-biztonsági Stratégiában megfogalmazottak szerint működik. A hiteles és erős hatóság képét a teljes élelmiszerláncot felölelő magas szakmai színvonalon végzett tevékenységeink révén tudjuk biztosítani. Az élelmiszerlánc biztonságának javulását a szakmai feladatok ellátása mellett, a különböző célcsoportoknak szóló kommunikációval valósítjuk meg. Fontosnak tartjuk a vásárlók egyéni felelősségérzetének további erősítését, amely elengedhetetlen ahhoz, hogy hosszú távon érdemi előrelépés történjen az élelmiszereredetű kockázatok számának csökkenésében. A </w:t>
      </w:r>
      <w:r w:rsidRPr="00247795">
        <w:rPr>
          <w:rFonts w:eastAsia="Calibri"/>
          <w:b/>
        </w:rPr>
        <w:t>szemléletformáló programok</w:t>
      </w:r>
      <w:r>
        <w:rPr>
          <w:rFonts w:eastAsia="Calibri"/>
        </w:rPr>
        <w:t xml:space="preserve"> így kiemelt jelentőségűek a hivatal életében. Kommunikációs stratégiánk egyértelműen megfogalmazza a kiskorúak ismeretterjesztésének fontosságát, azonban a szemléletformáló tevékenység kiterjed az élelmiszerlánc összes szereplőjére. A hivatal partnerségi viszonyra törekszik mind a vásárlókkal, mind a vállalkozókkal, amit hatékony információátadással és tudásmegosztással valósít meg. Élénk közkapcsolati rendszert tartunk fent, így médiajelenlétünk számos témában folyamatosan biztosított. Egyrészt vásárlói igény, másrészt kormányzati döntés eredménye a tudatos vásárlói lét, amelynek kialakulásához a média jelentősen hozzá tud járulni. Ezt hivatott erősíteni a NÉBIH ingyenesen hívható Zöld számának népszerűsítése is. A 2016 decemberében indított kampány üzenete szerint a Zöld számon (06 80 263 244) a fogyasztó bejelentést tehet minden olyan esetben, amikor élelmiszerrel kapcsolatos biztonsági problémát tapasztal. Ilyen például a lejárt fogyaszthatósági vagy minőség-megőrzési idő, jelöletlen élelmiszer, visszafagyasztott termék, higiéniai problémák az elárusító- vagy vendéglátóhelyen. </w:t>
      </w:r>
    </w:p>
    <w:p w:rsidR="00247795" w:rsidRDefault="00247795" w:rsidP="00247795">
      <w:pPr>
        <w:autoSpaceDE w:val="0"/>
        <w:autoSpaceDN w:val="0"/>
        <w:adjustRightInd w:val="0"/>
        <w:rPr>
          <w:rFonts w:eastAsia="Calibri"/>
        </w:rPr>
      </w:pPr>
    </w:p>
    <w:p w:rsidR="00247795" w:rsidRDefault="00247795" w:rsidP="00247795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Ismeretterjesztő kampányaink 2016-ban is folytatódtak, illetve új területek felé is nyitott a hivatal. Ilyen az </w:t>
      </w:r>
      <w:r w:rsidRPr="00247795">
        <w:rPr>
          <w:rFonts w:eastAsia="Calibri"/>
          <w:b/>
        </w:rPr>
        <w:t>élelmiszerpazarlással foglalkozó Maradék nélkül</w:t>
      </w:r>
      <w:r>
        <w:rPr>
          <w:rFonts w:eastAsia="Calibri"/>
        </w:rPr>
        <w:t xml:space="preserve"> elnevezésű kampány is, amelyet a NÉBIH az Európai Unió LIFE (L’Instrument Financier pour l’Environnement) környezetvédelmi alprogramjának pénzügyi támogatásával indított el 2016-ban.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A kampány célja a hazai élelmiszerpazarlás mérséklése. A probléma jelentőségét érzékelteti, hogy Magyarországon évente kb. 1,8 millió tonna élelmiszerhulladék keletkezik, jelentős részük a háztartásokban, ami évente 40-46 kg-ot jelent fejenként. A számok alapján látszik, hogy ennél a programnál is kiemelt fontosságot kap a vásárlói tudatosság. A tájékoztatás érdekében elsődleges kommunikációs csatornaként létrehoztuk a </w:t>
      </w:r>
      <w:hyperlink r:id="rId11" w:history="1">
        <w:r>
          <w:rPr>
            <w:rStyle w:val="Hiperhivatkozs"/>
            <w:rFonts w:eastAsia="Calibri"/>
          </w:rPr>
          <w:t>www.maradeknelkül.hu</w:t>
        </w:r>
      </w:hyperlink>
      <w:r>
        <w:rPr>
          <w:rFonts w:eastAsia="Calibri"/>
        </w:rPr>
        <w:t xml:space="preserve"> weboldalt, </w:t>
      </w:r>
      <w:r>
        <w:rPr>
          <w:rFonts w:eastAsia="Calibri"/>
        </w:rPr>
        <w:lastRenderedPageBreak/>
        <w:t>ahol a programról, illetve a megoldási javaslatokról informálódhatnak az érdeklődök. Számos rendezvényen, illetve konferencián vettünk részt a témával kapcsolatban.</w:t>
      </w:r>
    </w:p>
    <w:p w:rsidR="00247795" w:rsidRDefault="00247795" w:rsidP="00247795">
      <w:pPr>
        <w:rPr>
          <w:rFonts w:eastAsia="Calibri"/>
        </w:rPr>
      </w:pPr>
    </w:p>
    <w:p w:rsidR="00247795" w:rsidRDefault="00247795" w:rsidP="00247795">
      <w:r>
        <w:rPr>
          <w:rFonts w:eastAsia="Calibri"/>
        </w:rPr>
        <w:t>Nagy</w:t>
      </w:r>
      <w:r>
        <w:rPr>
          <w:rFonts w:eastAsia="Calibri"/>
          <w:b/>
        </w:rPr>
        <w:t xml:space="preserve"> </w:t>
      </w:r>
      <w:r>
        <w:rPr>
          <w:rFonts w:eastAsia="Calibri"/>
        </w:rPr>
        <w:t>nyilvánosságot kaptak 2016-ban is a NÉBIH által szervezett</w:t>
      </w:r>
      <w:r>
        <w:rPr>
          <w:rFonts w:eastAsia="Calibri"/>
          <w:b/>
        </w:rPr>
        <w:t xml:space="preserve"> Szupermenta terméktesztek </w:t>
      </w:r>
      <w:r>
        <w:rPr>
          <w:rFonts w:eastAsia="Calibri"/>
        </w:rPr>
        <w:t>(www.szupermenta.hu).</w:t>
      </w:r>
      <w:r>
        <w:rPr>
          <w:rFonts w:eastAsia="Calibri"/>
          <w:b/>
        </w:rPr>
        <w:t xml:space="preserve"> </w:t>
      </w:r>
      <w:r>
        <w:rPr>
          <w:rFonts w:eastAsia="Calibri"/>
        </w:rPr>
        <w:t xml:space="preserve">Ennek keretében 14 termék tesztjére került sor - pl. tejcsokoládé, vaj, facsart narancs, fűmagkeverék, gumicukor - </w:t>
      </w:r>
      <w:r>
        <w:rPr>
          <w:rFonts w:eastAsia="Calibri"/>
          <w:b/>
        </w:rPr>
        <w:t>komplex (laboratóriumi/érzékszervi/kedveltségi) vizsgálata</w:t>
      </w:r>
      <w:r>
        <w:rPr>
          <w:rFonts w:eastAsia="Calibri"/>
        </w:rPr>
        <w:t xml:space="preserve"> és ennek közzététele történt meg</w:t>
      </w:r>
      <w:r>
        <w:rPr>
          <w:rFonts w:eastAsia="Calibri"/>
          <w:b/>
        </w:rPr>
        <w:t xml:space="preserve">. </w:t>
      </w:r>
      <w:r>
        <w:rPr>
          <w:rFonts w:eastAsia="Calibri"/>
        </w:rPr>
        <w:t xml:space="preserve">A Szupermenta terméktesztek célja, hogy az adott termékcsoport átvilágítása után a rendelkezésre álló információk megosztásával, a vásárlói igényeket a minőségi élelmiszerek irányába tolja el, valamint a vállalkozói (beszállító, gyártó, kereskedő) felelősségtudatot növelje. A NÉBIH szakemberei 2016-ban több mint 250 terméken több mint 5 ezer laboratóriumi mérést végeztek. A kedveltségi kóstolásokon pedig mintegy 300-an vettek részt. </w:t>
      </w:r>
      <w:r>
        <w:t xml:space="preserve">A NÉBIH folyamatosan részt vett </w:t>
      </w:r>
      <w:r>
        <w:rPr>
          <w:b/>
        </w:rPr>
        <w:t xml:space="preserve">az élelmiszerlánc-felügyeleti díjjal kapcsolatos EU Bizottsági vizsgálat tagállami dokumentumainak összeállításában </w:t>
      </w:r>
      <w:r>
        <w:t xml:space="preserve">(pl. multinacionális áruházláncok magasabb ellenőrzési kiadásainak szöveges és számszaki indoklása, harmadik feles észrevételek véleményezése). </w:t>
      </w:r>
    </w:p>
    <w:p w:rsidR="00247795" w:rsidRDefault="00247795" w:rsidP="00247795">
      <w:pPr>
        <w:rPr>
          <w:rFonts w:eastAsia="Calibri"/>
          <w:b/>
        </w:rPr>
      </w:pPr>
    </w:p>
    <w:p w:rsidR="00247795" w:rsidRDefault="00247795" w:rsidP="00247795">
      <w:pPr>
        <w:rPr>
          <w:rFonts w:eastAsia="Calibri"/>
        </w:rPr>
      </w:pPr>
      <w:r>
        <w:t xml:space="preserve">A sikeres hatósági fellépésen túl a Földművelésügyi Minisztérium és a NÉBIH számára is kiemelten fontos a </w:t>
      </w:r>
      <w:r>
        <w:rPr>
          <w:b/>
        </w:rPr>
        <w:t>szakmaközi szervezetetekkel kialakított partneri kapcsolat</w:t>
      </w:r>
      <w:r>
        <w:t>, a minél gyakoribb információ-megosztás és az együttműködés. A Tej Szakmaközi Szervezet és Terméktanács (a továbbiakban: TTT) a Kormányzat és az ágazat minden szereplőjének közös érdeke, hogy szoros együttműködéssel javítsa a termékpálya szervezettségét, a tejpiaci környezet kiszámíthatóbbá és kiegyensúlyozottabbá tételét, valamint a tej- és tejtermékfogyasztás népszerűsítését és növelését. A TTT-vel 2015-ben megkezdtük az együttműködést és az első ellenőrzéseket. A TTT kezdeményezésére 2016-ban külön feladatot jelentett a Magyarország területén működő tejfeldolgozó, nagykereskedelemmel foglalkozó tejágazati szereplők, valamint a tej-nagy/kiskereskedők ellenőrzése, összesen 92 db ellenőrzést végeztünk el piacszervezési hozzájárulás címen. A hatályos jogszabályban rögzítettek szerint a befizetést teljesítő/nem teljesítő ügyfelek ellenőrzésére a NEBIH jogosult. A TTT részéről további megkeresés érkezett 2016. év decemberében összesen 94 db cégre vonatkozóan, melynek vizsgálatra történő előkészítése szintén megtörtént.</w:t>
      </w:r>
    </w:p>
    <w:p w:rsidR="00247795" w:rsidRDefault="00247795" w:rsidP="00247795">
      <w:pPr>
        <w:rPr>
          <w:rFonts w:eastAsia="Calibri"/>
        </w:rPr>
      </w:pPr>
    </w:p>
    <w:p w:rsidR="00247795" w:rsidRDefault="00247795" w:rsidP="00247795">
      <w:pPr>
        <w:rPr>
          <w:rFonts w:eastAsia="Calibri"/>
        </w:rPr>
      </w:pPr>
      <w:r>
        <w:t xml:space="preserve">Az e-közigazgatás ügyfelek között kiemelkedő elégedettséget élvező fejlesztése volt a turista állami horgászjegy online értékesítése (tuhir.nebih.gov.hu). A </w:t>
      </w:r>
      <w:r>
        <w:rPr>
          <w:rFonts w:eastAsia="Calibri"/>
          <w:b/>
        </w:rPr>
        <w:t>TUHIR</w:t>
      </w:r>
      <w:r>
        <w:rPr>
          <w:rFonts w:eastAsia="Calibri"/>
        </w:rPr>
        <w:t xml:space="preserve"> népszerűsítésnek köszönhetően </w:t>
      </w:r>
      <w:r>
        <w:rPr>
          <w:rFonts w:eastAsia="Calibri"/>
          <w:color w:val="000000" w:themeColor="text1"/>
        </w:rPr>
        <w:t>eddig közel 28 ezer fő regisztrált a rendszerbe, és ebből több mint 17 ezer</w:t>
      </w:r>
      <w:r>
        <w:rPr>
          <w:rFonts w:eastAsia="Calibri"/>
        </w:rPr>
        <w:t xml:space="preserve"> személy váltott turista állami horgászjegyet.</w:t>
      </w:r>
    </w:p>
    <w:p w:rsidR="00247795" w:rsidRDefault="00247795" w:rsidP="00247795">
      <w:pPr>
        <w:rPr>
          <w:rFonts w:eastAsia="Calibri"/>
        </w:rPr>
      </w:pPr>
      <w:r>
        <w:rPr>
          <w:rFonts w:eastAsia="Calibri"/>
        </w:rPr>
        <w:t xml:space="preserve"> </w:t>
      </w:r>
    </w:p>
    <w:p w:rsidR="00247795" w:rsidRDefault="00247795" w:rsidP="00247795">
      <w:pPr>
        <w:shd w:val="clear" w:color="auto" w:fill="FFFFFF"/>
      </w:pPr>
      <w:r>
        <w:t>Az</w:t>
      </w:r>
      <w:r>
        <w:rPr>
          <w:b/>
        </w:rPr>
        <w:t xml:space="preserve"> Állami Halőri Szolgálatot (ÁHSZ) </w:t>
      </w:r>
      <w:r>
        <w:t>a NÉBIH 2015. május 1-től működteti. 2016-ban a szolgálat több mint 230 jogsértő horgásszal és halásszal szemben kezdeményezett eljárást, melyek első és másodfokon közel 7 millió forint halvédelmi bírság kiszabását eredményezték.</w:t>
      </w:r>
    </w:p>
    <w:p w:rsidR="00247795" w:rsidRDefault="00247795" w:rsidP="00247795">
      <w:pPr>
        <w:rPr>
          <w:rFonts w:eastAsia="Calibri"/>
        </w:rPr>
      </w:pPr>
      <w:r>
        <w:rPr>
          <w:rFonts w:eastAsia="Calibri"/>
        </w:rPr>
        <w:t xml:space="preserve">A horgászok és halászok, halőrök és társadalmi halőrök ellenőrzésén túl, az ÁHSZ éttermekben, halboltokban a halhús teljes nyomonkövetését is ellenőrizte. A NÉBIH külön bejelentő e-mail címet üzemeltet az ÁHSZ-nek szóló információk 24 órás figyelésére. Az ÁHSZ működése fejezeti forrásból is támogatott. </w:t>
      </w:r>
    </w:p>
    <w:p w:rsidR="00247795" w:rsidRDefault="00247795" w:rsidP="00247795"/>
    <w:p w:rsidR="00247795" w:rsidRDefault="00247795" w:rsidP="00247795"/>
    <w:p w:rsidR="00247795" w:rsidRDefault="00247795" w:rsidP="00247795">
      <w:pPr>
        <w:rPr>
          <w:rFonts w:eastAsiaTheme="minorHAnsi"/>
          <w:lang w:eastAsia="en-US"/>
        </w:rPr>
      </w:pPr>
      <w:r>
        <w:t>A</w:t>
      </w:r>
      <w:r>
        <w:rPr>
          <w:rFonts w:eastAsiaTheme="minorHAnsi"/>
          <w:lang w:eastAsia="en-US"/>
        </w:rPr>
        <w:t xml:space="preserve">z </w:t>
      </w:r>
      <w:r>
        <w:rPr>
          <w:rFonts w:eastAsiaTheme="minorHAnsi"/>
          <w:b/>
          <w:lang w:eastAsia="en-US"/>
        </w:rPr>
        <w:t>agrár-közép és -felsőoktatásban</w:t>
      </w:r>
      <w:r>
        <w:rPr>
          <w:rFonts w:eastAsiaTheme="minorHAnsi"/>
          <w:lang w:eastAsia="en-US"/>
        </w:rPr>
        <w:t xml:space="preserve"> a NÉBIH támogatja a hatékony, az élelmiszerágazat számára stratégiai fontosságú funkciókat betölteni képes tudásközpontok létrejöttét. Ennek szerves részeként </w:t>
      </w:r>
      <w:r>
        <w:rPr>
          <w:rFonts w:eastAsiaTheme="minorHAnsi"/>
          <w:b/>
          <w:lang w:eastAsia="en-US"/>
        </w:rPr>
        <w:t>együttműködési megállapodásokat köt felsőoktatási intézményekkel</w:t>
      </w:r>
      <w:r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lastRenderedPageBreak/>
        <w:t xml:space="preserve">kihelyezett tanszékeket biztosít a hallgatók részére, ezen felül segít a kötelező szakmai gyakorlatok aktív és hasznos letöltésében, valamint a NÉBIH kapcsolatot ápol a felsőoktatási intézmények szakkönyvtáraival is. </w:t>
      </w:r>
      <w:r w:rsidRPr="00247795">
        <w:rPr>
          <w:rFonts w:eastAsiaTheme="minorHAnsi"/>
          <w:lang w:eastAsia="en-US"/>
        </w:rPr>
        <w:t xml:space="preserve">A 2016. évben a NÉBIH-nél töltötte szakmai gyakorlatát </w:t>
      </w:r>
      <w:r>
        <w:rPr>
          <w:rFonts w:eastAsiaTheme="minorHAnsi"/>
          <w:lang w:eastAsia="en-US"/>
        </w:rPr>
        <w:t xml:space="preserve">171 </w:t>
      </w:r>
      <w:r w:rsidRPr="00247795">
        <w:rPr>
          <w:rFonts w:eastAsiaTheme="minorHAnsi"/>
          <w:lang w:eastAsia="en-US"/>
        </w:rPr>
        <w:t>fő.</w:t>
      </w:r>
      <w:r>
        <w:rPr>
          <w:rFonts w:eastAsiaTheme="minorHAnsi"/>
          <w:lang w:eastAsia="en-US"/>
        </w:rPr>
        <w:t xml:space="preserve"> </w:t>
      </w:r>
    </w:p>
    <w:p w:rsidR="00247795" w:rsidRDefault="00247795" w:rsidP="00247795">
      <w:pPr>
        <w:rPr>
          <w:rFonts w:eastAsiaTheme="minorHAnsi"/>
          <w:lang w:eastAsia="en-US"/>
        </w:rPr>
      </w:pPr>
    </w:p>
    <w:p w:rsidR="00247795" w:rsidRDefault="00247795" w:rsidP="00247795">
      <w:r>
        <w:rPr>
          <w:b/>
        </w:rPr>
        <w:t xml:space="preserve">A NÉBIH továbbá 2016-ban kihelyezett tanszéket hozott létre a Szent István Egyetem Élelmiszer tudományi Karával közösen. </w:t>
      </w:r>
      <w:r>
        <w:t>Az új tanszék legfontosabb célja a hatékony utánpótlás-nevelés, megfelelő elméleti és gyakorlati felkészültséggel rendelkező élelmiszermérnök szakemberek képzése, valamint tudományos kutatások-fejlesztések elősegítése, ezzel is biztosítva az élelmiszerlánc-biztonsággal és -felügyelettel kapcsolatos feladatok magas szintű ellátását. A két szervezet közösen vállalja többek között a graduális, posztgraduális és doktori képzésekben, a tudományos, kutatási-fejlesztési feladatokban, a szaktanácsadói munkákban való együttműködést. Továbbá a két intézmény feladatként határozta meg egy hosszú távú élelmiszerlánc-biztonsági oktatási stratégia kidolgozását és megvalósítását, valamint szakmai továbbképzések, tudományos és ismeretterjesztő konferenciák, rendezvények szervezését.</w:t>
      </w:r>
    </w:p>
    <w:p w:rsidR="00247795" w:rsidRDefault="00247795" w:rsidP="00247795"/>
    <w:p w:rsidR="00247795" w:rsidRDefault="00247795" w:rsidP="00247795">
      <w:r>
        <w:rPr>
          <w:b/>
        </w:rPr>
        <w:t>A NÉBIH bevezette a faanyag nyomon követést szolgáló EUTR rendszert.</w:t>
      </w:r>
      <w:r>
        <w:t xml:space="preserve"> Az EUTR nyilvántartásba minden olyan személynek és szervezetnek regisztrálnia kell, aki Magyarország területén fát vagy faterméket hoz forgalomba, illetve ezekkel kereskedik. A rendszer célja, hogy a faanya kereskedelmi láncba tartozó tevékenységek, azok helyszínei, érintettjei beazonosíthatóak legyenek, ezáltal hatékonyan lehessen fellépni az illegális fakitermelés ellen, erdeink és környezetünk védelme érdekében. A rendszer létrehozása összhangban áll az európai uniós elvárásokkal.</w:t>
      </w:r>
    </w:p>
    <w:p w:rsidR="00247795" w:rsidRDefault="00247795" w:rsidP="00247795">
      <w:pPr>
        <w:rPr>
          <w:rFonts w:eastAsiaTheme="minorHAnsi"/>
          <w:lang w:eastAsia="en-US"/>
        </w:rPr>
      </w:pPr>
    </w:p>
    <w:p w:rsidR="00A005CD" w:rsidRDefault="00A005CD" w:rsidP="00A0656F"/>
    <w:p w:rsidR="00EE5508" w:rsidRDefault="00EE5508" w:rsidP="00A0656F"/>
    <w:p w:rsidR="00EE5508" w:rsidRDefault="00EE5508">
      <w:pPr>
        <w:jc w:val="left"/>
        <w:rPr>
          <w:rFonts w:eastAsiaTheme="majorEastAsia" w:cstheme="majorBidi"/>
          <w:b/>
          <w:bCs/>
          <w:i/>
          <w:sz w:val="28"/>
          <w:szCs w:val="28"/>
        </w:rPr>
      </w:pPr>
      <w:r>
        <w:rPr>
          <w:rFonts w:eastAsiaTheme="majorEastAsia" w:cstheme="majorBidi"/>
          <w:b/>
          <w:bCs/>
          <w:i/>
          <w:sz w:val="28"/>
          <w:szCs w:val="28"/>
        </w:rPr>
        <w:br w:type="page"/>
      </w:r>
    </w:p>
    <w:p w:rsidR="00E843D1" w:rsidRPr="00E843D1" w:rsidRDefault="00EE5508" w:rsidP="004C165D">
      <w:pPr>
        <w:jc w:val="center"/>
        <w:rPr>
          <w:rFonts w:eastAsiaTheme="majorEastAsia" w:cstheme="majorBidi"/>
          <w:b/>
          <w:bCs/>
          <w:i/>
          <w:sz w:val="28"/>
          <w:szCs w:val="28"/>
        </w:rPr>
      </w:pPr>
      <w:r>
        <w:rPr>
          <w:rFonts w:eastAsiaTheme="majorEastAsia" w:cstheme="majorBidi"/>
          <w:b/>
          <w:bCs/>
          <w:i/>
          <w:sz w:val="28"/>
          <w:szCs w:val="28"/>
        </w:rPr>
        <w:lastRenderedPageBreak/>
        <w:t xml:space="preserve">II. </w:t>
      </w:r>
      <w:r w:rsidR="00E843D1" w:rsidRPr="00E843D1">
        <w:rPr>
          <w:rFonts w:eastAsiaTheme="majorEastAsia" w:cstheme="majorBidi"/>
          <w:b/>
          <w:bCs/>
          <w:i/>
          <w:sz w:val="28"/>
          <w:szCs w:val="28"/>
        </w:rPr>
        <w:t>Az év folyamán az intézményen belül bekövetkezett szervezeti-szerkezeti változások</w:t>
      </w:r>
    </w:p>
    <w:p w:rsidR="00E843D1" w:rsidRDefault="00E843D1" w:rsidP="00E843D1">
      <w:pPr>
        <w:rPr>
          <w:rFonts w:ascii="Times Roman" w:hAnsi="Times Roman"/>
        </w:rPr>
      </w:pPr>
    </w:p>
    <w:p w:rsidR="00EE5508" w:rsidRDefault="00EE5508" w:rsidP="00E843D1">
      <w:pPr>
        <w:rPr>
          <w:rFonts w:ascii="Times Roman" w:hAnsi="Times Roman"/>
        </w:rPr>
      </w:pPr>
    </w:p>
    <w:p w:rsidR="00E843D1" w:rsidRDefault="00E843D1" w:rsidP="00E843D1">
      <w:r w:rsidRPr="00E843D1">
        <w:t xml:space="preserve">A Kormány </w:t>
      </w:r>
      <w:r w:rsidRPr="00E843D1">
        <w:rPr>
          <w:i/>
        </w:rPr>
        <w:t>a központi hivatalok és a költségvetési szervi formában működő minisztériumi háttérintézmények felülvizsgálatával kapcsolatos intézkedésekről</w:t>
      </w:r>
      <w:r w:rsidRPr="00E843D1">
        <w:t xml:space="preserve"> szóló 1312/2016 (VI.13.) Korm. határozatával döntött az államigazgatási és kapcsolódó állami feladatok minisztériumi szervezetrendszerben, területi szinten a f</w:t>
      </w:r>
      <w:r>
        <w:t>ő</w:t>
      </w:r>
      <w:r w:rsidRPr="00E843D1">
        <w:t>városi és megyei kormányhivatalokban, illetve a járási (f</w:t>
      </w:r>
      <w:r>
        <w:t>ő</w:t>
      </w:r>
      <w:r w:rsidRPr="00E843D1">
        <w:t>városi kerületi) hivatalokban történ</w:t>
      </w:r>
      <w:r>
        <w:t>ő</w:t>
      </w:r>
      <w:r w:rsidRPr="00E843D1">
        <w:t xml:space="preserve"> ellátásáról. A döntés értelmében a NÉBIH egyes hatósági feladataiban a f</w:t>
      </w:r>
      <w:r>
        <w:t>ő</w:t>
      </w:r>
      <w:r w:rsidRPr="00E843D1">
        <w:t xml:space="preserve">városi és megyei kormányhivatalok járnak el. </w:t>
      </w:r>
      <w:r w:rsidRPr="004C165D">
        <w:rPr>
          <w:b/>
        </w:rPr>
        <w:t>Az átalakítás végrehajtására vonatkozó 378/2016. (XII. 2.) Korm. rendelet ugyan csak 2017. január 1-jétől hatályos, azonban 2016-ban kellett előkészíteni mind az átadás-átvételt, mind a feladatkörében megerősített NÉBIH megújítását, a feladatprioritások meghatározását</w:t>
      </w:r>
      <w:r w:rsidRPr="00E843D1">
        <w:t>.</w:t>
      </w:r>
    </w:p>
    <w:p w:rsidR="00E843D1" w:rsidRPr="00E843D1" w:rsidRDefault="00E843D1" w:rsidP="00E843D1"/>
    <w:p w:rsidR="004C165D" w:rsidRDefault="00E843D1" w:rsidP="00E843D1">
      <w:r w:rsidRPr="00E843D1">
        <w:t xml:space="preserve">Az említett jogszabályok alapján a területi igazgatás lett a NÉBIH jogutódja egyes hatósági feladatokban, mindez azonban összhangban az </w:t>
      </w:r>
      <w:r>
        <w:t>ÉLBS-sel</w:t>
      </w:r>
      <w:r w:rsidRPr="00E843D1">
        <w:t xml:space="preserve"> nem érinti a Hivatal erős ellenőrzési, intézkedési, szankcionálási jogköreit, </w:t>
      </w:r>
      <w:r>
        <w:t>társadalmi szemléletformáló feladatait</w:t>
      </w:r>
      <w:r w:rsidRPr="00E843D1">
        <w:t xml:space="preserve">. A NÉBIH kiemelt ellenőrzési, tájékoztatási, kockázatkezelési, adatelemzési tevékenységét meg kell szilárdítani, mindemellett egyre fontosabb szerepet kap a felhalmozott és széleskörű szakmai információk alapján a Hivatal tudáscentrum szerepe, valamint a lakosság és a fogyasztók ismereteinek bővítése. </w:t>
      </w:r>
    </w:p>
    <w:p w:rsidR="004C165D" w:rsidRDefault="004C165D" w:rsidP="00E843D1"/>
    <w:p w:rsidR="00E843D1" w:rsidRDefault="00E843D1" w:rsidP="00E843D1">
      <w:r w:rsidRPr="00E843D1">
        <w:t xml:space="preserve">2016 nyarán egyeztetések folytak a NÉBIH-től a területi igazgatáshoz átkerülő hatósági feladatok köréről. </w:t>
      </w:r>
      <w:r w:rsidR="004C165D">
        <w:t xml:space="preserve">Az </w:t>
      </w:r>
      <w:r w:rsidRPr="00E843D1">
        <w:t>átadandó feladatokkal párhuzamosan döntés született arról, hogy mindez a NÉBIH létszámából több szakterületet érintően összesen 53 státusz átadását jelenti. 2016 novemberben a Pest Megyei Kormányhivatallal a jogutódlás konkrét feltételeiről (átadandó ügyek, dolgozók, tárgyi eszközök, szerződések) megállapodást kötöttünk, ezzel egyidejűleg részletes kalkuláció készült a feladatátadás költségvetési vonzatairól, amely 381,1 m Ft kiadást és ennek forrásaként 130,7 m Ft bevételt és 253,4 m Ft költségvetési támogatást jelent.</w:t>
      </w:r>
    </w:p>
    <w:p w:rsidR="00E843D1" w:rsidRPr="00E843D1" w:rsidRDefault="00E843D1" w:rsidP="00E843D1"/>
    <w:p w:rsidR="00E843D1" w:rsidRPr="00E843D1" w:rsidRDefault="00E843D1" w:rsidP="00E843D1">
      <w:r w:rsidRPr="00E843D1">
        <w:t>Mi</w:t>
      </w:r>
      <w:r>
        <w:t>n</w:t>
      </w:r>
      <w:r w:rsidRPr="00E843D1">
        <w:t>demellett a NÉBIH-en belül is megkezdődött a fe</w:t>
      </w:r>
      <w:r w:rsidR="004C165D">
        <w:t>lkészülés a kiemelt feladatokra, ami</w:t>
      </w:r>
      <w:r w:rsidRPr="00E843D1">
        <w:t xml:space="preserve"> munkáltatói intézkedés</w:t>
      </w:r>
      <w:r w:rsidR="004C165D">
        <w:t>eke</w:t>
      </w:r>
      <w:r w:rsidRPr="00E843D1">
        <w:t>t is igényelt. Saját hatáskörben néhány dolgozónktól meg kellett válnunk, annak érdekében, hogy a munkakör struktúrát a 2017-es feladatok tükrében határozhassuk meg.  Elkezdődött az országos laboratóriumi hálózat átalakítása az Élelmiszerlánc-biztonsági Stratégia alapján, melynek egyik kitűzött célja egy új, integrált, hatékonyabb laboratóriumi rendszer létrehozása.</w:t>
      </w:r>
    </w:p>
    <w:p w:rsidR="004961AA" w:rsidRDefault="004961AA" w:rsidP="00A0656F"/>
    <w:p w:rsidR="004F1F1A" w:rsidRDefault="004F1F1A">
      <w:pPr>
        <w:jc w:val="left"/>
        <w:rPr>
          <w:b/>
        </w:rPr>
      </w:pPr>
      <w:r>
        <w:rPr>
          <w:b/>
        </w:rPr>
        <w:br w:type="page"/>
      </w:r>
    </w:p>
    <w:p w:rsidR="00DA3342" w:rsidRPr="00272597" w:rsidRDefault="00EE5508" w:rsidP="00CB50A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III. </w:t>
      </w:r>
      <w:r w:rsidR="00DA3342" w:rsidRPr="00272597">
        <w:rPr>
          <w:b/>
          <w:i/>
          <w:sz w:val="28"/>
          <w:szCs w:val="28"/>
        </w:rPr>
        <w:t>Az előirányzatok alakulása</w:t>
      </w:r>
      <w:r w:rsidR="00B0593C" w:rsidRPr="00272597">
        <w:rPr>
          <w:b/>
          <w:i/>
          <w:sz w:val="28"/>
          <w:szCs w:val="28"/>
        </w:rPr>
        <w:t>, gazdálkodás</w:t>
      </w:r>
      <w:r w:rsidR="00F630E9" w:rsidRPr="00272597">
        <w:rPr>
          <w:b/>
          <w:i/>
          <w:sz w:val="28"/>
          <w:szCs w:val="28"/>
        </w:rPr>
        <w:t>i folyamatok</w:t>
      </w:r>
    </w:p>
    <w:p w:rsidR="00CB50A4" w:rsidRDefault="00CB50A4" w:rsidP="00CB50A4"/>
    <w:p w:rsidR="00F74FEB" w:rsidRDefault="00C95595" w:rsidP="00F74FEB">
      <w:r>
        <w:t>A NÉBIH 201</w:t>
      </w:r>
      <w:r w:rsidR="00E843D1">
        <w:t xml:space="preserve">6. évi gazdasági éve még nagy bizonytalansággal indult, hiszen a 2016. évi költségvetési törvény </w:t>
      </w:r>
      <w:r w:rsidR="00F74FEB">
        <w:t xml:space="preserve">még az ún. sávos (progresszív) felügyeleti díj bevétellel számolt, miközben azt az EU Bizottság vizsgálata nyomán az Országgyűlés törvénymódosítással 2015. végén </w:t>
      </w:r>
      <w:r w:rsidR="00782044">
        <w:t xml:space="preserve">azt </w:t>
      </w:r>
      <w:r w:rsidR="00F74FEB">
        <w:t xml:space="preserve">hatályon kívül helyezte. Bár a kormányzat is tisztában volt azzal, hogy a </w:t>
      </w:r>
      <w:r w:rsidR="00F74FEB" w:rsidRPr="00945204">
        <w:rPr>
          <w:b/>
        </w:rPr>
        <w:t>bevételkiesést költségvetési támogatással pótolni szükséges</w:t>
      </w:r>
      <w:r w:rsidR="00F74FEB">
        <w:t xml:space="preserve">, ennek rendezésére csak a Magyarország </w:t>
      </w:r>
      <w:r w:rsidR="00F74FEB" w:rsidRPr="00945204">
        <w:rPr>
          <w:i/>
        </w:rPr>
        <w:t>2016. évi központi költségvetéséről szóló</w:t>
      </w:r>
      <w:r w:rsidR="00F74FEB">
        <w:t xml:space="preserve"> 2015. évi C. törvény módosításával volt m</w:t>
      </w:r>
      <w:r w:rsidR="00945204">
        <w:t>ód, mellyel a NÉBIH 4,7 Mrd Ft költségvetési támogatást kapott vissza.</w:t>
      </w:r>
      <w:r w:rsidR="00F74FEB">
        <w:t xml:space="preserve"> A törvénymódosítás 2016. június 24-én lépett hatályba, azaz a NÉBIH számára havi központi költségvetési támogatást először </w:t>
      </w:r>
      <w:r w:rsidR="009269D4">
        <w:t xml:space="preserve">júliusban nyitott meg a Kincstár. </w:t>
      </w:r>
      <w:r w:rsidR="00782044">
        <w:t>Ez azt eredményezte</w:t>
      </w:r>
      <w:r w:rsidR="009269D4">
        <w:t>, hogy július 20-i</w:t>
      </w:r>
      <w:r w:rsidR="00782044">
        <w:t>g csak a felügyeleti díjból és más</w:t>
      </w:r>
      <w:r w:rsidR="009269D4">
        <w:t xml:space="preserve"> bevételeinkből gazdálkodhattunk, így számos, tervezett kiadást az év máso</w:t>
      </w:r>
      <w:r w:rsidR="00782044">
        <w:t>dik felére kellett koncentrálni, hogy június-július hónapok folyamán elkerüljük a szállítói számláknál jelentős fizetési késedelmet.</w:t>
      </w:r>
    </w:p>
    <w:p w:rsidR="009269D4" w:rsidRDefault="009269D4" w:rsidP="00F74FEB"/>
    <w:p w:rsidR="00945204" w:rsidRDefault="00945204" w:rsidP="00945204">
      <w:r>
        <w:t xml:space="preserve">A 4,7 Mrd Ft-on felül az egyeztetéseken az FM és a NÉBIH jelezte, hogy </w:t>
      </w:r>
      <w:r w:rsidR="00DC224A">
        <w:t>ez</w:t>
      </w:r>
      <w:r>
        <w:t xml:space="preserve"> önmagában nem elegendő plusz támogatásként, hiszen a NÉBIH új feladatokat is kapott, amely a 2016. évi költségvetési törvényben is tükröződött az eredeti összes kiadási/bevételi előirányzat növekedésével. A 2017. évi tervezés és a 2016. évi költségvetési törvény módosítás során kezdeményeztük </w:t>
      </w:r>
      <w:r w:rsidRPr="00B552DE">
        <w:rPr>
          <w:b/>
        </w:rPr>
        <w:t>a NÉBIH kiadási előirányzatának és költségvetési támogatásának emelését 703 millió Ft-tal, kiemelten az alábbi új feladatok miatt</w:t>
      </w:r>
      <w:r>
        <w:t>:</w:t>
      </w:r>
    </w:p>
    <w:p w:rsidR="00945204" w:rsidRPr="00945204" w:rsidRDefault="00945204" w:rsidP="00F1478A">
      <w:pPr>
        <w:pStyle w:val="Listaszerbekezds"/>
        <w:numPr>
          <w:ilvl w:val="0"/>
          <w:numId w:val="15"/>
        </w:numPr>
        <w:rPr>
          <w:sz w:val="24"/>
          <w:lang w:eastAsia="hu-HU"/>
        </w:rPr>
      </w:pPr>
      <w:r>
        <w:rPr>
          <w:sz w:val="24"/>
          <w:lang w:eastAsia="hu-HU"/>
        </w:rPr>
        <w:t>r</w:t>
      </w:r>
      <w:r w:rsidRPr="00945204">
        <w:rPr>
          <w:sz w:val="24"/>
          <w:lang w:eastAsia="hu-HU"/>
        </w:rPr>
        <w:t xml:space="preserve">észvétel a feketegazdaság elleni küzdelemben, </w:t>
      </w:r>
      <w:r w:rsidR="00DC224A">
        <w:rPr>
          <w:sz w:val="24"/>
          <w:lang w:eastAsia="hu-HU"/>
        </w:rPr>
        <w:t xml:space="preserve">az </w:t>
      </w:r>
      <w:r w:rsidRPr="00945204">
        <w:rPr>
          <w:sz w:val="24"/>
          <w:lang w:eastAsia="hu-HU"/>
        </w:rPr>
        <w:t>Elektronikus Közúti Áruforgalom Ellenőrző Rendszer (EKÁER) működtetésében, valamint</w:t>
      </w:r>
      <w:r w:rsidR="00AB75ED">
        <w:rPr>
          <w:sz w:val="24"/>
          <w:lang w:eastAsia="hu-HU"/>
        </w:rPr>
        <w:t xml:space="preserve"> a </w:t>
      </w:r>
      <w:r w:rsidRPr="00945204">
        <w:rPr>
          <w:sz w:val="24"/>
          <w:lang w:eastAsia="hu-HU"/>
        </w:rPr>
        <w:t>Kiemelt Ügyek ellenőrzése</w:t>
      </w:r>
      <w:r>
        <w:rPr>
          <w:sz w:val="24"/>
          <w:lang w:eastAsia="hu-HU"/>
        </w:rPr>
        <w:t>;</w:t>
      </w:r>
    </w:p>
    <w:p w:rsidR="00945204" w:rsidRDefault="00AB75ED" w:rsidP="00F1478A">
      <w:pPr>
        <w:pStyle w:val="Listaszerbekezds"/>
        <w:numPr>
          <w:ilvl w:val="0"/>
          <w:numId w:val="15"/>
        </w:numPr>
        <w:rPr>
          <w:sz w:val="24"/>
          <w:lang w:eastAsia="hu-HU"/>
        </w:rPr>
      </w:pPr>
      <w:r>
        <w:rPr>
          <w:sz w:val="24"/>
          <w:lang w:eastAsia="hu-HU"/>
        </w:rPr>
        <w:t>é</w:t>
      </w:r>
      <w:r w:rsidRPr="00AB75ED">
        <w:rPr>
          <w:sz w:val="24"/>
          <w:lang w:eastAsia="hu-HU"/>
        </w:rPr>
        <w:t>lelmiszerlánc-felügyeleti információs rendszer (FELIR) és kapcsolódó szakrendszerek üzemeltetése</w:t>
      </w:r>
      <w:r>
        <w:rPr>
          <w:sz w:val="24"/>
          <w:lang w:eastAsia="hu-HU"/>
        </w:rPr>
        <w:t>;</w:t>
      </w:r>
    </w:p>
    <w:p w:rsidR="00AB75ED" w:rsidRDefault="00AB75ED" w:rsidP="00F1478A">
      <w:pPr>
        <w:pStyle w:val="Listaszerbekezds"/>
        <w:numPr>
          <w:ilvl w:val="0"/>
          <w:numId w:val="15"/>
        </w:numPr>
        <w:rPr>
          <w:sz w:val="24"/>
          <w:lang w:eastAsia="hu-HU"/>
        </w:rPr>
      </w:pPr>
      <w:r>
        <w:rPr>
          <w:sz w:val="24"/>
          <w:lang w:eastAsia="hu-HU"/>
        </w:rPr>
        <w:t>k</w:t>
      </w:r>
      <w:r w:rsidRPr="00AB75ED">
        <w:rPr>
          <w:sz w:val="24"/>
          <w:lang w:eastAsia="hu-HU"/>
        </w:rPr>
        <w:t>özétkeztetés ellenőrzése</w:t>
      </w:r>
      <w:r>
        <w:rPr>
          <w:sz w:val="24"/>
          <w:lang w:eastAsia="hu-HU"/>
        </w:rPr>
        <w:t>;</w:t>
      </w:r>
    </w:p>
    <w:p w:rsidR="00AB75ED" w:rsidRDefault="00AB75ED" w:rsidP="00F1478A">
      <w:pPr>
        <w:pStyle w:val="Listaszerbekezds"/>
        <w:numPr>
          <w:ilvl w:val="0"/>
          <w:numId w:val="15"/>
        </w:numPr>
        <w:rPr>
          <w:sz w:val="24"/>
          <w:lang w:eastAsia="hu-HU"/>
        </w:rPr>
      </w:pPr>
      <w:r>
        <w:rPr>
          <w:sz w:val="24"/>
          <w:lang w:eastAsia="hu-HU"/>
        </w:rPr>
        <w:t>f</w:t>
      </w:r>
      <w:r w:rsidRPr="00AB75ED">
        <w:rPr>
          <w:sz w:val="24"/>
          <w:lang w:eastAsia="hu-HU"/>
        </w:rPr>
        <w:t>aanyag-kereskedelmi lánc ellenőrzése</w:t>
      </w:r>
      <w:r>
        <w:rPr>
          <w:sz w:val="24"/>
          <w:lang w:eastAsia="hu-HU"/>
        </w:rPr>
        <w:t>;</w:t>
      </w:r>
    </w:p>
    <w:p w:rsidR="00AB75ED" w:rsidRDefault="00AB75ED" w:rsidP="00F1478A">
      <w:pPr>
        <w:pStyle w:val="Listaszerbekezds"/>
        <w:numPr>
          <w:ilvl w:val="0"/>
          <w:numId w:val="15"/>
        </w:numPr>
        <w:rPr>
          <w:sz w:val="24"/>
          <w:lang w:eastAsia="hu-HU"/>
        </w:rPr>
      </w:pPr>
      <w:r>
        <w:rPr>
          <w:sz w:val="24"/>
          <w:lang w:eastAsia="hu-HU"/>
        </w:rPr>
        <w:t>közreműködés az ü</w:t>
      </w:r>
      <w:r w:rsidRPr="00AB75ED">
        <w:rPr>
          <w:sz w:val="24"/>
          <w:lang w:eastAsia="hu-HU"/>
        </w:rPr>
        <w:t>vegházhatású gázokkal kapcsolatos nemzeti jelentések</w:t>
      </w:r>
      <w:r>
        <w:rPr>
          <w:sz w:val="24"/>
          <w:lang w:eastAsia="hu-HU"/>
        </w:rPr>
        <w:t>en belül a s</w:t>
      </w:r>
      <w:r w:rsidRPr="00AB75ED">
        <w:rPr>
          <w:sz w:val="24"/>
          <w:lang w:eastAsia="hu-HU"/>
        </w:rPr>
        <w:t>zántóföldi jelentés</w:t>
      </w:r>
      <w:r>
        <w:rPr>
          <w:sz w:val="24"/>
          <w:lang w:eastAsia="hu-HU"/>
        </w:rPr>
        <w:t>ben.</w:t>
      </w:r>
    </w:p>
    <w:p w:rsidR="00DC224A" w:rsidRDefault="00DC224A" w:rsidP="00F1478A">
      <w:pPr>
        <w:pStyle w:val="Listaszerbekezds"/>
        <w:numPr>
          <w:ilvl w:val="0"/>
          <w:numId w:val="15"/>
        </w:numPr>
        <w:rPr>
          <w:sz w:val="24"/>
          <w:lang w:eastAsia="hu-HU"/>
        </w:rPr>
      </w:pPr>
    </w:p>
    <w:p w:rsidR="00AB75ED" w:rsidRPr="00AB75ED" w:rsidRDefault="00C552AD" w:rsidP="00AB75ED">
      <w:r>
        <w:t xml:space="preserve">A többletigény a 2017. évi tervezés során elismerésre került, </w:t>
      </w:r>
      <w:r w:rsidR="002D04DD">
        <w:t>illetve 2016-ra</w:t>
      </w:r>
      <w:r>
        <w:t xml:space="preserve"> a NÉBIH </w:t>
      </w:r>
      <w:r w:rsidR="002D04DD">
        <w:t>a Kormány 1768/2016. (XII.15.) határozata alapján plusz 450 millió Ft forrást kapott</w:t>
      </w:r>
      <w:r w:rsidR="00DC224A">
        <w:t xml:space="preserve"> a</w:t>
      </w:r>
      <w:r w:rsidR="002D04DD">
        <w:t xml:space="preserve"> 2015. évi kötelezettségvállalással nem terhelt </w:t>
      </w:r>
      <w:r w:rsidR="00DC224A">
        <w:t xml:space="preserve">fejezeti </w:t>
      </w:r>
      <w:r w:rsidR="002D04DD">
        <w:t>maradványok terhére.</w:t>
      </w:r>
    </w:p>
    <w:p w:rsidR="00945204" w:rsidRDefault="00945204" w:rsidP="00945204"/>
    <w:p w:rsidR="00F64A2C" w:rsidRDefault="00F64A2C" w:rsidP="00945204">
      <w:r>
        <w:t>A 2016. évi kiadások jelentős része az utolsó negyedévre, ezen belül is decemberre koncentrálódott, amely nagyban m</w:t>
      </w:r>
      <w:r w:rsidR="00DC224A">
        <w:t>egnehezítette a munkaszervezést.</w:t>
      </w:r>
      <w:r>
        <w:t xml:space="preserve"> </w:t>
      </w:r>
      <w:r w:rsidR="00DC224A">
        <w:t>D</w:t>
      </w:r>
      <w:r>
        <w:t xml:space="preserve">ecemberben a költségvetési és beszerzési munkatársak részére folyamatos rendkívüli munkavégzést kellett elrendelni. A </w:t>
      </w:r>
      <w:r w:rsidRPr="00B552DE">
        <w:rPr>
          <w:b/>
        </w:rPr>
        <w:t>kiadások év közben</w:t>
      </w:r>
      <w:r w:rsidR="00DC224A" w:rsidRPr="00B552DE">
        <w:rPr>
          <w:b/>
        </w:rPr>
        <w:t>i</w:t>
      </w:r>
      <w:r w:rsidRPr="00B552DE">
        <w:rPr>
          <w:b/>
        </w:rPr>
        <w:t xml:space="preserve"> szélsőséges megoszlásának három oka volt</w:t>
      </w:r>
      <w:r>
        <w:t xml:space="preserve">:  </w:t>
      </w:r>
    </w:p>
    <w:p w:rsidR="001C3CD3" w:rsidRPr="00F64A2C" w:rsidRDefault="00F64A2C" w:rsidP="00F1478A">
      <w:pPr>
        <w:pStyle w:val="Listaszerbekezds"/>
        <w:numPr>
          <w:ilvl w:val="0"/>
          <w:numId w:val="16"/>
        </w:numPr>
      </w:pPr>
      <w:r>
        <w:rPr>
          <w:sz w:val="24"/>
        </w:rPr>
        <w:t xml:space="preserve">az év eleji forráshiánnyal </w:t>
      </w:r>
      <w:r w:rsidR="00B552DE">
        <w:rPr>
          <w:sz w:val="24"/>
        </w:rPr>
        <w:t xml:space="preserve">küzdöttünk, majd </w:t>
      </w:r>
      <w:r>
        <w:rPr>
          <w:sz w:val="24"/>
        </w:rPr>
        <w:t xml:space="preserve">a bevételek, elsősorban a többlettámogatások az év </w:t>
      </w:r>
      <w:r w:rsidR="00DC224A">
        <w:rPr>
          <w:sz w:val="24"/>
        </w:rPr>
        <w:t>leg</w:t>
      </w:r>
      <w:r>
        <w:rPr>
          <w:sz w:val="24"/>
        </w:rPr>
        <w:t>végén folytak be;</w:t>
      </w:r>
    </w:p>
    <w:p w:rsidR="00A33567" w:rsidRPr="00A33567" w:rsidRDefault="00F64A2C" w:rsidP="00F1478A">
      <w:pPr>
        <w:pStyle w:val="Listaszerbekezds"/>
        <w:numPr>
          <w:ilvl w:val="0"/>
          <w:numId w:val="16"/>
        </w:numPr>
      </w:pPr>
      <w:r>
        <w:rPr>
          <w:sz w:val="24"/>
        </w:rPr>
        <w:t>a magas patho</w:t>
      </w:r>
      <w:r w:rsidR="00A33567">
        <w:rPr>
          <w:sz w:val="24"/>
        </w:rPr>
        <w:t>ge</w:t>
      </w:r>
      <w:r>
        <w:rPr>
          <w:sz w:val="24"/>
        </w:rPr>
        <w:t>nitású madárinfluenza járvány miatt a NÉBIH-nél</w:t>
      </w:r>
      <w:r w:rsidR="00A33567">
        <w:rPr>
          <w:sz w:val="24"/>
        </w:rPr>
        <w:t xml:space="preserve"> jelentkező extra kiadások pl. az állatok kíméletes leöléshez szükséges vegyszerek, fertőtlenítőszerek, védőfelszerelés, a megsemmisítés költségei)</w:t>
      </w:r>
      <w:r w:rsidR="00DC224A">
        <w:rPr>
          <w:sz w:val="24"/>
        </w:rPr>
        <w:t>.</w:t>
      </w:r>
      <w:r w:rsidR="00177BCC">
        <w:rPr>
          <w:sz w:val="24"/>
        </w:rPr>
        <w:t xml:space="preserve"> 2016. december 31-ig 1.165 millió Ft kártalanítást folyósítottunk a gazdálkodóknak és kb. 900-1.000 millió Ft kiadási kötelezettségvállalás keletkezett a hatósági költségek terén. </w:t>
      </w:r>
      <w:r w:rsidR="00DC224A">
        <w:rPr>
          <w:sz w:val="24"/>
        </w:rPr>
        <w:t>A szöveges</w:t>
      </w:r>
      <w:r w:rsidR="00177BCC">
        <w:rPr>
          <w:sz w:val="24"/>
        </w:rPr>
        <w:t xml:space="preserve"> beszámoló készítésének időpontjában a járvány várható összköltségét </w:t>
      </w:r>
      <w:r w:rsidR="000A087F">
        <w:rPr>
          <w:sz w:val="24"/>
        </w:rPr>
        <w:t>mintegy</w:t>
      </w:r>
      <w:r w:rsidR="00177BCC">
        <w:rPr>
          <w:sz w:val="24"/>
        </w:rPr>
        <w:t xml:space="preserve"> 12 Mrd Ft-ra becsüljük, </w:t>
      </w:r>
      <w:r w:rsidR="000A087F">
        <w:rPr>
          <w:sz w:val="24"/>
        </w:rPr>
        <w:t>ám</w:t>
      </w:r>
      <w:r w:rsidR="00177BCC">
        <w:rPr>
          <w:sz w:val="24"/>
        </w:rPr>
        <w:t xml:space="preserve"> a járványhelyzet még mindig nem szűnt meg.  </w:t>
      </w:r>
    </w:p>
    <w:p w:rsidR="00177BCC" w:rsidRPr="00177BCC" w:rsidRDefault="00A33567" w:rsidP="00F1478A">
      <w:pPr>
        <w:pStyle w:val="Listaszerbekezds"/>
        <w:numPr>
          <w:ilvl w:val="0"/>
          <w:numId w:val="16"/>
        </w:numPr>
      </w:pPr>
      <w:r>
        <w:rPr>
          <w:sz w:val="24"/>
        </w:rPr>
        <w:lastRenderedPageBreak/>
        <w:t xml:space="preserve">az az </w:t>
      </w:r>
      <w:r w:rsidR="00177BCC">
        <w:rPr>
          <w:sz w:val="24"/>
        </w:rPr>
        <w:t xml:space="preserve">általános </w:t>
      </w:r>
      <w:r>
        <w:rPr>
          <w:sz w:val="24"/>
        </w:rPr>
        <w:t>elvárás</w:t>
      </w:r>
      <w:r w:rsidR="00177BCC">
        <w:rPr>
          <w:sz w:val="24"/>
        </w:rPr>
        <w:t>, hogy a költségvetési sze</w:t>
      </w:r>
      <w:r w:rsidR="00DC224A">
        <w:rPr>
          <w:sz w:val="24"/>
        </w:rPr>
        <w:t>rvek maradványát minimalizáljuk, a kifizetések minél nagyobb mértékben 2016-ban teljesüljenek (</w:t>
      </w:r>
      <w:r w:rsidR="000A087F">
        <w:rPr>
          <w:sz w:val="24"/>
        </w:rPr>
        <w:t xml:space="preserve">FM </w:t>
      </w:r>
      <w:r w:rsidR="00DC224A">
        <w:rPr>
          <w:sz w:val="24"/>
        </w:rPr>
        <w:t>K</w:t>
      </w:r>
      <w:r w:rsidR="000A087F">
        <w:rPr>
          <w:sz w:val="24"/>
        </w:rPr>
        <w:t>F/1440/2016. sz. ügyirat).</w:t>
      </w:r>
    </w:p>
    <w:p w:rsidR="00F64A2C" w:rsidRDefault="00177BCC" w:rsidP="00177BCC">
      <w:r w:rsidRPr="00177BCC">
        <w:t xml:space="preserve"> </w:t>
      </w:r>
      <w:r w:rsidR="00A33567" w:rsidRPr="00177BCC">
        <w:t xml:space="preserve"> </w:t>
      </w:r>
      <w:r w:rsidR="00F64A2C" w:rsidRPr="00177BCC">
        <w:t xml:space="preserve">  </w:t>
      </w:r>
    </w:p>
    <w:p w:rsidR="000A087F" w:rsidRDefault="00C95595" w:rsidP="00AF2E14">
      <w:pPr>
        <w:rPr>
          <w:b/>
        </w:rPr>
      </w:pPr>
      <w:r>
        <w:rPr>
          <w:b/>
        </w:rPr>
        <w:t xml:space="preserve"> </w:t>
      </w:r>
    </w:p>
    <w:p w:rsidR="00AF2E14" w:rsidRDefault="00B0593C" w:rsidP="00AF2E14">
      <w:pPr>
        <w:rPr>
          <w:b/>
          <w:u w:val="single"/>
        </w:rPr>
      </w:pPr>
      <w:r>
        <w:rPr>
          <w:b/>
          <w:u w:val="single"/>
        </w:rPr>
        <w:t>A</w:t>
      </w:r>
      <w:r w:rsidR="00AD77DD">
        <w:rPr>
          <w:b/>
          <w:u w:val="single"/>
        </w:rPr>
        <w:t>z</w:t>
      </w:r>
      <w:r w:rsidR="00AF2E14">
        <w:rPr>
          <w:b/>
          <w:u w:val="single"/>
        </w:rPr>
        <w:t xml:space="preserve"> </w:t>
      </w:r>
      <w:r w:rsidR="00AF2E14" w:rsidRPr="007C065B">
        <w:rPr>
          <w:b/>
          <w:u w:val="single"/>
        </w:rPr>
        <w:t>előirányzatok változása és teljesítése</w:t>
      </w:r>
    </w:p>
    <w:p w:rsidR="00DE18A2" w:rsidRDefault="00DE18A2" w:rsidP="00DE18A2"/>
    <w:p w:rsidR="00643066" w:rsidRDefault="00DE18A2" w:rsidP="00DE18A2">
      <w:r>
        <w:t xml:space="preserve">A NÉBIH </w:t>
      </w:r>
      <w:r w:rsidR="00643066">
        <w:t xml:space="preserve">hosszú évek óta szem előtt tartott </w:t>
      </w:r>
      <w:r>
        <w:t xml:space="preserve">célja, </w:t>
      </w:r>
      <w:r w:rsidR="00643066">
        <w:t xml:space="preserve">hogy </w:t>
      </w:r>
      <w:r>
        <w:t>a beszerzési igények felülvizsgálatának intenzív központosításával, új szállítópartnerek felkutatásával gazdaságos és hatékony működés</w:t>
      </w:r>
      <w:r w:rsidR="00643066">
        <w:t xml:space="preserve">t </w:t>
      </w:r>
      <w:r>
        <w:t>valósítás</w:t>
      </w:r>
      <w:r w:rsidR="00643066">
        <w:t>on meg</w:t>
      </w:r>
      <w:r>
        <w:t xml:space="preserve">, </w:t>
      </w:r>
      <w:r w:rsidR="00643066">
        <w:t>s ezzel biztosítsa az eredményes szakmai tevékenységet.</w:t>
      </w:r>
    </w:p>
    <w:p w:rsidR="00643066" w:rsidRDefault="00643066" w:rsidP="00DE18A2"/>
    <w:p w:rsidR="00DE18A2" w:rsidRDefault="00373B80" w:rsidP="00DE18A2">
      <w:r>
        <w:t xml:space="preserve">A 2015. és 2016. </w:t>
      </w:r>
      <w:r w:rsidR="000A087F">
        <w:t>évek</w:t>
      </w:r>
      <w:r>
        <w:t xml:space="preserve"> összevetése alapján az intézmény éves költségvetése kb. 18-20 </w:t>
      </w:r>
      <w:r w:rsidR="00FC52C1">
        <w:t xml:space="preserve">Mrd Ft-os </w:t>
      </w:r>
      <w:r>
        <w:t>nagyságrendet tesz ki.</w:t>
      </w:r>
    </w:p>
    <w:p w:rsidR="00373B80" w:rsidRDefault="00373B80" w:rsidP="00DE18A2"/>
    <w:p w:rsidR="005A7A99" w:rsidRDefault="005A7A99" w:rsidP="00DE18A2"/>
    <w:p w:rsidR="005A7A99" w:rsidRDefault="005A7A99" w:rsidP="00DE18A2"/>
    <w:p w:rsidR="00392FEE" w:rsidRPr="00392FEE" w:rsidRDefault="00392FEE" w:rsidP="00DE18A2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adatok ezer Ft-ban</w:t>
      </w:r>
    </w:p>
    <w:tbl>
      <w:tblPr>
        <w:tblW w:w="9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1180"/>
        <w:gridCol w:w="1191"/>
        <w:gridCol w:w="1180"/>
        <w:gridCol w:w="1180"/>
        <w:gridCol w:w="1191"/>
        <w:gridCol w:w="1180"/>
        <w:gridCol w:w="1180"/>
      </w:tblGrid>
      <w:tr w:rsidR="00392FEE" w:rsidRPr="00392FEE" w:rsidTr="00392FEE">
        <w:trPr>
          <w:trHeight w:val="300"/>
          <w:tblHeader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Év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2015.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2016.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 xml:space="preserve">2016/2015. </w:t>
            </w:r>
          </w:p>
        </w:tc>
      </w:tr>
      <w:tr w:rsidR="00392FEE" w:rsidRPr="00392FEE" w:rsidTr="00392FEE">
        <w:trPr>
          <w:trHeight w:val="690"/>
          <w:tblHeader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Kiemelt előirányzat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Eredeti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Módosított előirányzat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Teljesítés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Eredeti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Módosított előirányzat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Teljesítés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Teljesítés aránya</w:t>
            </w:r>
          </w:p>
        </w:tc>
      </w:tr>
      <w:tr w:rsidR="00392FEE" w:rsidRPr="00392FEE" w:rsidTr="00392FEE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Személyi kiadás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6 010 500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5 196 082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5 101 634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6 010 500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5 922 434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5 468 067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107%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Szoc.ho. adó és m</w:t>
            </w:r>
            <w:r>
              <w:rPr>
                <w:color w:val="000000"/>
                <w:sz w:val="22"/>
                <w:szCs w:val="22"/>
              </w:rPr>
              <w:t>unk</w:t>
            </w:r>
            <w:r w:rsidRPr="00392FEE">
              <w:rPr>
                <w:color w:val="000000"/>
                <w:sz w:val="22"/>
                <w:szCs w:val="22"/>
              </w:rPr>
              <w:t>a</w:t>
            </w:r>
            <w:r>
              <w:rPr>
                <w:color w:val="000000"/>
                <w:sz w:val="22"/>
                <w:szCs w:val="22"/>
              </w:rPr>
              <w:t>a-t.</w:t>
            </w:r>
            <w:r w:rsidRPr="00392FEE">
              <w:rPr>
                <w:color w:val="000000"/>
                <w:sz w:val="22"/>
                <w:szCs w:val="22"/>
              </w:rPr>
              <w:t xml:space="preserve"> terh.járulék</w:t>
            </w:r>
            <w:r>
              <w:rPr>
                <w:color w:val="000000"/>
                <w:sz w:val="22"/>
                <w:szCs w:val="22"/>
              </w:rPr>
              <w:t>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1 690 300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1 502 139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1 489 928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1 690 300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1 695 088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1 564 203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105%</w:t>
            </w:r>
          </w:p>
        </w:tc>
      </w:tr>
      <w:tr w:rsidR="00392FEE" w:rsidRPr="00392FEE" w:rsidTr="00392FEE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Dologi kiadás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5 049 100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9 286 276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8 099 656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5 527 600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9 143 437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8 525 584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105%</w:t>
            </w:r>
          </w:p>
        </w:tc>
      </w:tr>
      <w:tr w:rsidR="00392FEE" w:rsidRPr="00392FEE" w:rsidTr="00392FEE">
        <w:trPr>
          <w:trHeight w:val="6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Nemzetközi kötelezettségek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6 658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6 658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</w:rPr>
              <w:t>6 000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3 114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3 114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47%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Egyéb elvonások, befizetések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rFonts w:ascii="Calibri" w:hAnsi="Calibri"/>
                <w:color w:val="000000"/>
              </w:rPr>
            </w:pPr>
            <w:r w:rsidRPr="00392FE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26 831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19 060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-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Műk. célú kiadások áh-n belülre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300 000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240 822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227 413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</w:rPr>
              <w:t>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110 820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90 117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40%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Műk. célú kiadások áh-n kívülre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881 954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862 188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293 780 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2 623 706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2 623 696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304%</w:t>
            </w:r>
          </w:p>
        </w:tc>
      </w:tr>
      <w:tr w:rsidR="00392FEE" w:rsidRPr="00392FEE" w:rsidTr="00392FEE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Beruházások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1 634 600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2 536 768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1 977 007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6 514 200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2 033 995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1 641 633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83%</w:t>
            </w:r>
          </w:p>
        </w:tc>
      </w:tr>
      <w:tr w:rsidR="00392FEE" w:rsidRPr="00392FEE" w:rsidTr="00392FEE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Felújítások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750 000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343 838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315 223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750 000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216 950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196 169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62%</w:t>
            </w:r>
          </w:p>
        </w:tc>
      </w:tr>
      <w:tr w:rsidR="00392FEE" w:rsidRPr="00392FEE" w:rsidTr="00392FEE">
        <w:trPr>
          <w:trHeight w:val="6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 xml:space="preserve">Felhalm.célú </w:t>
            </w:r>
            <w:proofErr w:type="spellStart"/>
            <w:r w:rsidRPr="00392FEE">
              <w:rPr>
                <w:color w:val="000000"/>
                <w:sz w:val="22"/>
                <w:szCs w:val="22"/>
              </w:rPr>
              <w:t>visszatér</w:t>
            </w:r>
            <w:proofErr w:type="gramStart"/>
            <w:r w:rsidRPr="00392FEE">
              <w:rPr>
                <w:color w:val="000000"/>
                <w:sz w:val="22"/>
                <w:szCs w:val="22"/>
              </w:rPr>
              <w:t>.tám</w:t>
            </w:r>
            <w:proofErr w:type="spellEnd"/>
            <w:proofErr w:type="gramEnd"/>
            <w:r w:rsidRPr="00392FE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99 000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69 000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87 400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77 400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112%</w:t>
            </w:r>
          </w:p>
        </w:tc>
      </w:tr>
      <w:tr w:rsidR="00392FEE" w:rsidRPr="00392FEE" w:rsidTr="00392FEE">
        <w:trPr>
          <w:trHeight w:val="5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Kiadások összesen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15 434 500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20 093 537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18 148 707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20 792 600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21 863 775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20 209 043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111%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lastRenderedPageBreak/>
              <w:t xml:space="preserve">Működési célú támogatások </w:t>
            </w:r>
            <w:proofErr w:type="spellStart"/>
            <w:r w:rsidRPr="00392FEE">
              <w:rPr>
                <w:color w:val="000000"/>
                <w:sz w:val="22"/>
                <w:szCs w:val="22"/>
              </w:rPr>
              <w:t>áh-n</w:t>
            </w:r>
            <w:proofErr w:type="spellEnd"/>
            <w:r w:rsidRPr="00392FEE">
              <w:rPr>
                <w:color w:val="000000"/>
                <w:sz w:val="22"/>
                <w:szCs w:val="22"/>
              </w:rPr>
              <w:t xml:space="preserve"> belülről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8 677 348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8 677 348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2 489 307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2 435 268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28%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Egyéb felhalmozási célú tám.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25 025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1 750 320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9724%</w:t>
            </w:r>
          </w:p>
        </w:tc>
      </w:tr>
      <w:tr w:rsidR="00392FEE" w:rsidRPr="00392FEE" w:rsidTr="00392FEE">
        <w:trPr>
          <w:trHeight w:val="6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Közhatalmi bevételek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13 376 000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7 154 691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6 936 660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18 092 600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8 692 600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7 583 151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109%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Intézményi működési bevételek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2 058 500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2 676 050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2 893 885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2 700 000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2 814 365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2814365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97%</w:t>
            </w:r>
          </w:p>
        </w:tc>
      </w:tr>
      <w:tr w:rsidR="00392FEE" w:rsidRPr="00392FEE" w:rsidTr="00392FEE">
        <w:trPr>
          <w:trHeight w:val="6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Felhalmozási bevételek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1 463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1 455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367%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Működési célú átvett pénzeszközök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746 775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746 775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922 555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921 092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123%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Felhalmozási célú átvett pénzeszközök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87 419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87 419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90 107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90 107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103%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Központi, irányító szervi támogatás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273 897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273 897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4 883 723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4 883 723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1783%</w:t>
            </w:r>
          </w:p>
        </w:tc>
      </w:tr>
      <w:tr w:rsidR="00392FEE" w:rsidRPr="00392FEE" w:rsidTr="00392FEE">
        <w:trPr>
          <w:trHeight w:val="9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Előző évi maradvány igénybevétele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458 957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458 957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1 944 630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1 944 630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color w:val="000000"/>
              </w:rPr>
            </w:pPr>
            <w:r w:rsidRPr="00392FEE">
              <w:rPr>
                <w:color w:val="000000"/>
                <w:sz w:val="22"/>
                <w:szCs w:val="22"/>
              </w:rPr>
              <w:t>424%</w:t>
            </w:r>
          </w:p>
        </w:tc>
      </w:tr>
      <w:tr w:rsidR="00392FEE" w:rsidRPr="00392FEE" w:rsidTr="00392FEE">
        <w:trPr>
          <w:trHeight w:val="57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92FEE" w:rsidRPr="00392FEE" w:rsidRDefault="00392FEE" w:rsidP="00392FEE">
            <w:pPr>
              <w:jc w:val="lef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Bevételek összesen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15 434 500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20 093 537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20 093 337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20 792 600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21 863 775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22 424 111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92FEE" w:rsidRPr="00392FEE" w:rsidRDefault="00392FEE" w:rsidP="00392FEE">
            <w:pPr>
              <w:jc w:val="right"/>
              <w:rPr>
                <w:b/>
                <w:bCs/>
                <w:color w:val="000000"/>
              </w:rPr>
            </w:pPr>
            <w:r w:rsidRPr="00392FEE">
              <w:rPr>
                <w:b/>
                <w:bCs/>
                <w:color w:val="000000"/>
                <w:sz w:val="22"/>
                <w:szCs w:val="22"/>
              </w:rPr>
              <w:t>112%</w:t>
            </w:r>
          </w:p>
        </w:tc>
      </w:tr>
    </w:tbl>
    <w:p w:rsidR="00392FEE" w:rsidRDefault="00392FEE" w:rsidP="00392FEE">
      <w:pPr>
        <w:ind w:left="-1134"/>
      </w:pPr>
    </w:p>
    <w:p w:rsidR="00D6691D" w:rsidRDefault="00D6691D" w:rsidP="00DE18A2"/>
    <w:p w:rsidR="000A087F" w:rsidRDefault="000A087F" w:rsidP="000A087F"/>
    <w:p w:rsidR="000A087F" w:rsidRPr="00D6691D" w:rsidRDefault="000A087F" w:rsidP="000A087F">
      <w:r w:rsidRPr="00D6691D">
        <w:t xml:space="preserve">A kiadás összességében 11%-kal nőtt 2016-ra, amely főként </w:t>
      </w:r>
      <w:r>
        <w:t>három</w:t>
      </w:r>
      <w:r w:rsidRPr="00D6691D">
        <w:t xml:space="preserve"> tényező következménye:</w:t>
      </w:r>
    </w:p>
    <w:p w:rsidR="000A087F" w:rsidRDefault="000A087F" w:rsidP="000A087F">
      <w:pPr>
        <w:pStyle w:val="Listaszerbekezds"/>
        <w:numPr>
          <w:ilvl w:val="0"/>
          <w:numId w:val="20"/>
        </w:numPr>
        <w:rPr>
          <w:sz w:val="24"/>
        </w:rPr>
      </w:pPr>
      <w:r w:rsidRPr="00D6691D">
        <w:rPr>
          <w:sz w:val="24"/>
        </w:rPr>
        <w:t xml:space="preserve">a 2015. évi </w:t>
      </w:r>
      <w:proofErr w:type="gramStart"/>
      <w:r w:rsidRPr="00D6691D">
        <w:rPr>
          <w:sz w:val="24"/>
        </w:rPr>
        <w:t xml:space="preserve">maradvány </w:t>
      </w:r>
      <w:r>
        <w:rPr>
          <w:sz w:val="24"/>
        </w:rPr>
        <w:t>jelentős</w:t>
      </w:r>
      <w:proofErr w:type="gramEnd"/>
      <w:r w:rsidR="00FC52C1">
        <w:rPr>
          <w:sz w:val="24"/>
        </w:rPr>
        <w:t>, majd 2 Mrd Ft-</w:t>
      </w:r>
      <w:r>
        <w:rPr>
          <w:sz w:val="24"/>
        </w:rPr>
        <w:t>os összege, amely 2016-ban került felhasználásra;</w:t>
      </w:r>
    </w:p>
    <w:p w:rsidR="000A087F" w:rsidRDefault="000A087F" w:rsidP="000A087F">
      <w:pPr>
        <w:pStyle w:val="Listaszerbekezds"/>
        <w:numPr>
          <w:ilvl w:val="0"/>
          <w:numId w:val="20"/>
        </w:numPr>
        <w:rPr>
          <w:sz w:val="24"/>
        </w:rPr>
      </w:pPr>
      <w:r>
        <w:rPr>
          <w:sz w:val="24"/>
        </w:rPr>
        <w:t>a madárinfluenza járvány költségei;</w:t>
      </w:r>
    </w:p>
    <w:p w:rsidR="000A087F" w:rsidRDefault="000A087F" w:rsidP="000A087F">
      <w:pPr>
        <w:pStyle w:val="Listaszerbekezds"/>
        <w:numPr>
          <w:ilvl w:val="0"/>
          <w:numId w:val="20"/>
        </w:numPr>
        <w:rPr>
          <w:sz w:val="24"/>
        </w:rPr>
      </w:pPr>
      <w:r>
        <w:rPr>
          <w:sz w:val="24"/>
        </w:rPr>
        <w:t>az új feladatok (pl. FELIR üzemeltetés, EUTR</w:t>
      </w:r>
      <w:r w:rsidR="00FC52C1">
        <w:rPr>
          <w:sz w:val="24"/>
        </w:rPr>
        <w:t xml:space="preserve"> nyilvántartás és ellenőrzés</w:t>
      </w:r>
      <w:r>
        <w:rPr>
          <w:sz w:val="24"/>
        </w:rPr>
        <w:t>).</w:t>
      </w:r>
    </w:p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DE18A2"/>
    <w:p w:rsidR="00373B80" w:rsidRDefault="00373B80" w:rsidP="00DE18A2">
      <w:r>
        <w:rPr>
          <w:noProof/>
        </w:rPr>
        <w:drawing>
          <wp:inline distT="0" distB="0" distL="0" distR="0" wp14:anchorId="0B4CEE5B" wp14:editId="2160BD8D">
            <wp:extent cx="5724940" cy="4381169"/>
            <wp:effectExtent l="0" t="0" r="9525" b="19685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73B80" w:rsidRDefault="00373B80" w:rsidP="00DE18A2"/>
    <w:p w:rsidR="000A087F" w:rsidRDefault="000A087F" w:rsidP="000A087F"/>
    <w:p w:rsidR="000A087F" w:rsidRDefault="000A087F" w:rsidP="000A087F"/>
    <w:p w:rsidR="000A087F" w:rsidRDefault="000A087F" w:rsidP="000A087F"/>
    <w:p w:rsidR="000A087F" w:rsidRDefault="000A087F" w:rsidP="000A087F">
      <w:r>
        <w:t>A forrás oldal növekedése 12%-os. Azonban a bázisalapú összehasonlítást korlátozza, hogy 2016-ban egyszeri jelentős</w:t>
      </w:r>
      <w:r w:rsidR="00FC52C1">
        <w:t>,</w:t>
      </w:r>
      <w:r>
        <w:t xml:space="preserve"> 1,7 </w:t>
      </w:r>
      <w:r w:rsidR="00FC52C1">
        <w:t xml:space="preserve">Mrd Ft-os </w:t>
      </w:r>
      <w:r>
        <w:t xml:space="preserve">bevételi többletet okozott, hogy az </w:t>
      </w:r>
      <w:r w:rsidRPr="00474F12">
        <w:t>Intelligens élelmiszerlánc-biztonsági elemző rendszer létrehozása</w:t>
      </w:r>
      <w:r>
        <w:t xml:space="preserve">, szállítói finanszírozású uniós projektben 50% szállítói előleg kifizetését teljesítette a Miniszterelnökség, mint Közreműködő Szervezet. Ez a NÉBIH-nél, mint a projekt kedvezményezettjénél a költségvetési számvitel szerint bevételként kezelendő, miközben a kiadások </w:t>
      </w:r>
      <w:proofErr w:type="gramStart"/>
      <w:r>
        <w:t xml:space="preserve">majd </w:t>
      </w:r>
      <w:r w:rsidR="00FC52C1">
        <w:t xml:space="preserve">               </w:t>
      </w:r>
      <w:r>
        <w:t>2017-</w:t>
      </w:r>
      <w:r w:rsidR="00FC52C1">
        <w:t>20</w:t>
      </w:r>
      <w:r>
        <w:t>18-ban</w:t>
      </w:r>
      <w:proofErr w:type="gramEnd"/>
      <w:r>
        <w:t xml:space="preserve"> merülnek fel.  </w:t>
      </w:r>
    </w:p>
    <w:p w:rsidR="000A087F" w:rsidRDefault="000A087F" w:rsidP="000A087F"/>
    <w:p w:rsidR="000A087F" w:rsidRDefault="000A087F" w:rsidP="000A087F">
      <w:r>
        <w:t xml:space="preserve">A bevételek szerkezetében a kiugró arányváltozásokat technikailag az okozza, hogy a sávos felügyeleti díj bevétel 4,7 </w:t>
      </w:r>
      <w:r w:rsidR="00FC52C1">
        <w:t xml:space="preserve">Mrd Ft-os </w:t>
      </w:r>
      <w:r>
        <w:t>kiváltása 2015-ben maradvány-átvételből, 2016-ban póttámogatásból történt.</w:t>
      </w:r>
    </w:p>
    <w:p w:rsidR="005A7A99" w:rsidRDefault="005A7A99" w:rsidP="000A087F"/>
    <w:p w:rsidR="005A7A99" w:rsidRDefault="005A7A99" w:rsidP="000A087F"/>
    <w:p w:rsidR="005A7A99" w:rsidRDefault="005A7A99" w:rsidP="000A087F"/>
    <w:p w:rsidR="005A7A99" w:rsidRDefault="005A7A99" w:rsidP="000A087F"/>
    <w:p w:rsidR="005A7A99" w:rsidRDefault="005A7A99" w:rsidP="000A087F"/>
    <w:p w:rsidR="005A7A99" w:rsidRDefault="005A7A99" w:rsidP="000A087F"/>
    <w:p w:rsidR="005A7A99" w:rsidRDefault="005A7A99" w:rsidP="000A087F"/>
    <w:p w:rsidR="000A087F" w:rsidRDefault="000A087F" w:rsidP="00DE18A2">
      <w:r>
        <w:lastRenderedPageBreak/>
        <w:t xml:space="preserve"> </w:t>
      </w:r>
    </w:p>
    <w:p w:rsidR="00373B80" w:rsidRDefault="000A087F" w:rsidP="00DE18A2">
      <w:r>
        <w:rPr>
          <w:noProof/>
        </w:rPr>
        <w:drawing>
          <wp:inline distT="0" distB="0" distL="0" distR="0" wp14:anchorId="00213E0C" wp14:editId="1FA40DB4">
            <wp:extent cx="6194066" cy="5494351"/>
            <wp:effectExtent l="0" t="0" r="16510" b="1143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73B80" w:rsidRDefault="00373B80" w:rsidP="00DE18A2"/>
    <w:p w:rsidR="005A7A99" w:rsidRDefault="005A7A99" w:rsidP="00DE18A2"/>
    <w:p w:rsidR="00FC52C1" w:rsidRDefault="00FC52C1">
      <w:pPr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AD77DD" w:rsidRPr="00AD77DD" w:rsidRDefault="00AD77DD" w:rsidP="00DE18A2">
      <w:pPr>
        <w:rPr>
          <w:b/>
          <w:u w:val="single"/>
        </w:rPr>
      </w:pPr>
      <w:r w:rsidRPr="00AD77DD">
        <w:rPr>
          <w:b/>
          <w:u w:val="single"/>
        </w:rPr>
        <w:lastRenderedPageBreak/>
        <w:t>Kiadási előirányzatok</w:t>
      </w:r>
    </w:p>
    <w:p w:rsidR="00AD77DD" w:rsidRDefault="00AD77DD" w:rsidP="00DE18A2"/>
    <w:p w:rsidR="00DE18A2" w:rsidRDefault="00DE18A2" w:rsidP="00DE18A2">
      <w:r>
        <w:t xml:space="preserve">A </w:t>
      </w:r>
      <w:r w:rsidRPr="000E39B3">
        <w:rPr>
          <w:b/>
        </w:rPr>
        <w:t>személyi juttatás</w:t>
      </w:r>
      <w:r>
        <w:t xml:space="preserve"> előirányzat alakulását az alábbi táblázat szemlélteti:</w:t>
      </w:r>
    </w:p>
    <w:p w:rsidR="000752E1" w:rsidRDefault="000752E1" w:rsidP="00DE18A2"/>
    <w:p w:rsidR="000752E1" w:rsidRDefault="000752E1" w:rsidP="000752E1">
      <w:pPr>
        <w:jc w:val="center"/>
        <w:rPr>
          <w:color w:val="000000"/>
          <w:u w:val="single"/>
        </w:rPr>
      </w:pPr>
      <w:r w:rsidRPr="000752E1">
        <w:rPr>
          <w:color w:val="000000"/>
          <w:u w:val="single"/>
        </w:rPr>
        <w:t>2016. évi személyi</w:t>
      </w:r>
      <w:r w:rsidRPr="000752E1">
        <w:rPr>
          <w:color w:val="000000"/>
          <w:u w:val="single"/>
        </w:rPr>
        <w:t xml:space="preserve"> kiadások előirányzat-teljesítés</w:t>
      </w:r>
    </w:p>
    <w:p w:rsidR="000752E1" w:rsidRDefault="000752E1" w:rsidP="000752E1">
      <w:pPr>
        <w:jc w:val="center"/>
        <w:rPr>
          <w:color w:val="000000"/>
          <w:u w:val="single"/>
        </w:rPr>
      </w:pPr>
    </w:p>
    <w:p w:rsidR="000752E1" w:rsidRPr="008A1156" w:rsidRDefault="000752E1" w:rsidP="008A1156">
      <w:pPr>
        <w:ind w:left="5664" w:firstLine="708"/>
        <w:jc w:val="center"/>
        <w:rPr>
          <w:sz w:val="20"/>
          <w:szCs w:val="20"/>
        </w:rPr>
      </w:pPr>
      <w:proofErr w:type="gramStart"/>
      <w:r w:rsidRPr="008A1156">
        <w:rPr>
          <w:i/>
          <w:color w:val="000000"/>
          <w:sz w:val="20"/>
          <w:szCs w:val="20"/>
        </w:rPr>
        <w:t>adatok</w:t>
      </w:r>
      <w:proofErr w:type="gramEnd"/>
      <w:r w:rsidRPr="008A1156">
        <w:rPr>
          <w:i/>
          <w:color w:val="000000"/>
          <w:sz w:val="20"/>
          <w:szCs w:val="20"/>
        </w:rPr>
        <w:t xml:space="preserve"> ezer Ft-ba</w:t>
      </w:r>
      <w:r w:rsidRPr="008A1156">
        <w:rPr>
          <w:i/>
          <w:color w:val="000000"/>
          <w:sz w:val="20"/>
          <w:szCs w:val="20"/>
        </w:rPr>
        <w:t>n</w:t>
      </w:r>
    </w:p>
    <w:tbl>
      <w:tblPr>
        <w:tblW w:w="82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1"/>
        <w:gridCol w:w="1347"/>
        <w:gridCol w:w="1633"/>
        <w:gridCol w:w="1197"/>
      </w:tblGrid>
      <w:tr w:rsidR="000A087F" w:rsidRPr="000752E1" w:rsidTr="000752E1">
        <w:trPr>
          <w:cantSplit/>
          <w:trHeight w:val="301"/>
          <w:tblHeader/>
          <w:jc w:val="center"/>
        </w:trPr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87F" w:rsidRPr="000752E1" w:rsidRDefault="000A087F" w:rsidP="000752E1">
            <w:pPr>
              <w:jc w:val="center"/>
              <w:rPr>
                <w:b/>
              </w:rPr>
            </w:pPr>
            <w:r w:rsidRPr="000752E1">
              <w:rPr>
                <w:b/>
              </w:rPr>
              <w:t>Megnevezés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87F" w:rsidRPr="000752E1" w:rsidRDefault="000A087F" w:rsidP="000752E1">
            <w:pPr>
              <w:jc w:val="center"/>
              <w:rPr>
                <w:b/>
              </w:rPr>
            </w:pPr>
            <w:r w:rsidRPr="000752E1">
              <w:rPr>
                <w:b/>
              </w:rPr>
              <w:t>Eredeti e</w:t>
            </w:r>
            <w:r w:rsidR="000752E1">
              <w:rPr>
                <w:b/>
              </w:rPr>
              <w:t>lőirányzat</w:t>
            </w:r>
            <w:r w:rsidRPr="000752E1">
              <w:rPr>
                <w:b/>
              </w:rPr>
              <w:t>.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87F" w:rsidRPr="000752E1" w:rsidRDefault="000752E1" w:rsidP="000752E1">
            <w:pPr>
              <w:jc w:val="center"/>
              <w:rPr>
                <w:b/>
              </w:rPr>
            </w:pPr>
            <w:r>
              <w:rPr>
                <w:b/>
              </w:rPr>
              <w:t>Módosított előirányzat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87F" w:rsidRPr="000752E1" w:rsidRDefault="000A087F" w:rsidP="000752E1">
            <w:pPr>
              <w:jc w:val="center"/>
              <w:rPr>
                <w:b/>
              </w:rPr>
            </w:pPr>
            <w:r w:rsidRPr="000752E1">
              <w:rPr>
                <w:b/>
              </w:rPr>
              <w:t>Teljesítés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87F" w:rsidRPr="000A087F" w:rsidRDefault="000A087F" w:rsidP="00301F98">
            <w:pPr>
              <w:jc w:val="left"/>
            </w:pPr>
            <w:r w:rsidRPr="000A087F">
              <w:t xml:space="preserve">K1101 - </w:t>
            </w:r>
            <w:proofErr w:type="spellStart"/>
            <w:r w:rsidRPr="000A087F">
              <w:t>Törv</w:t>
            </w:r>
            <w:proofErr w:type="gramStart"/>
            <w:r w:rsidRPr="000A087F">
              <w:t>.szerinti</w:t>
            </w:r>
            <w:proofErr w:type="spellEnd"/>
            <w:proofErr w:type="gramEnd"/>
            <w:r w:rsidRPr="000A087F">
              <w:t xml:space="preserve"> illetmény,munkabér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87F" w:rsidRPr="000A087F" w:rsidRDefault="000A087F" w:rsidP="00301F98">
            <w:pPr>
              <w:jc w:val="right"/>
            </w:pPr>
            <w:r w:rsidRPr="000A087F">
              <w:t>5 094 419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87F" w:rsidRPr="000A087F" w:rsidRDefault="000A087F" w:rsidP="00301F98">
            <w:pPr>
              <w:jc w:val="right"/>
            </w:pPr>
            <w:r w:rsidRPr="000A087F">
              <w:t>4 821 827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87F" w:rsidRPr="000A087F" w:rsidRDefault="000A087F" w:rsidP="00301F98">
            <w:pPr>
              <w:jc w:val="right"/>
            </w:pPr>
            <w:r w:rsidRPr="000A087F">
              <w:t>4 449 006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K1103 - Céljuttatás, projektprémium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73 027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60 521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 xml:space="preserve">K1104 - </w:t>
            </w:r>
            <w:proofErr w:type="spellStart"/>
            <w:r w:rsidRPr="000A087F">
              <w:t>Készenl</w:t>
            </w:r>
            <w:proofErr w:type="gramStart"/>
            <w:r w:rsidRPr="000A087F">
              <w:t>.ügy</w:t>
            </w:r>
            <w:proofErr w:type="gramEnd"/>
            <w:r w:rsidRPr="000A087F">
              <w:t>.-</w:t>
            </w:r>
            <w:proofErr w:type="spellEnd"/>
            <w:r w:rsidRPr="000A087F">
              <w:t>,</w:t>
            </w:r>
            <w:proofErr w:type="spellStart"/>
            <w:r w:rsidRPr="000A087F">
              <w:t>hely.díj</w:t>
            </w:r>
            <w:proofErr w:type="spellEnd"/>
            <w:r w:rsidRPr="000A087F">
              <w:t>,</w:t>
            </w:r>
            <w:proofErr w:type="spellStart"/>
            <w:r w:rsidRPr="000A087F">
              <w:t>t.óra</w:t>
            </w:r>
            <w:proofErr w:type="spellEnd"/>
            <w:r w:rsidRPr="000A087F">
              <w:t>,</w:t>
            </w:r>
            <w:proofErr w:type="spellStart"/>
            <w:r w:rsidRPr="000A087F">
              <w:t>túlsz</w:t>
            </w:r>
            <w:proofErr w:type="spell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100 000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23 595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23 595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K1105 – Végkielégítés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124 123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79 864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K1106 - Jubileumi jutalom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55 530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58 073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58 046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K1107 - Béren kívüli juttatások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167 000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265 284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264 361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K1108 - Ruházati költségtérítés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199 200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199 170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K1109 - Közlekedési költségtérítés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70 000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63 007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62 624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K1110 - Egyéb költségtérítés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41 551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22 823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22 159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K1111 - Lakhatási támogatások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6 000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7 000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6 650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K1112 - Szociális támogatások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16 000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19 200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17 404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 xml:space="preserve">K1113 - </w:t>
            </w:r>
            <w:proofErr w:type="spellStart"/>
            <w:r w:rsidRPr="000A087F">
              <w:t>Foglalk</w:t>
            </w:r>
            <w:proofErr w:type="spellEnd"/>
            <w:r w:rsidRPr="000A087F">
              <w:t>. egyéb személyi juttatásai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90 000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107 539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102 009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 xml:space="preserve">K122 - </w:t>
            </w:r>
            <w:proofErr w:type="spellStart"/>
            <w:r w:rsidRPr="000A087F">
              <w:t>Mvégz</w:t>
            </w:r>
            <w:proofErr w:type="gramStart"/>
            <w:r w:rsidRPr="000A087F">
              <w:t>.ir.e.jogv.nem</w:t>
            </w:r>
            <w:proofErr w:type="spellEnd"/>
            <w:proofErr w:type="gramEnd"/>
            <w:r w:rsidRPr="000A087F">
              <w:t xml:space="preserve"> </w:t>
            </w:r>
            <w:proofErr w:type="spellStart"/>
            <w:r w:rsidRPr="000A087F">
              <w:t>saj.fogl.fiz.j</w:t>
            </w:r>
            <w:proofErr w:type="spellEnd"/>
            <w:r w:rsidRPr="000A087F">
              <w:t>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70 000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54 015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41 596</w:t>
            </w:r>
          </w:p>
        </w:tc>
      </w:tr>
      <w:tr w:rsidR="000A087F" w:rsidRPr="001E2802" w:rsidTr="000752E1">
        <w:trPr>
          <w:trHeight w:val="301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left"/>
            </w:pPr>
            <w:r w:rsidRPr="000A087F">
              <w:t>K123 - Egyéb külső személyi juttatások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300 000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83 721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87F" w:rsidRPr="000A087F" w:rsidRDefault="000A087F" w:rsidP="00DE18A2">
            <w:pPr>
              <w:jc w:val="right"/>
            </w:pPr>
            <w:r w:rsidRPr="000A087F">
              <w:t>81 063</w:t>
            </w:r>
          </w:p>
        </w:tc>
      </w:tr>
      <w:tr w:rsidR="000A087F" w:rsidRPr="001E2802" w:rsidTr="000752E1">
        <w:trPr>
          <w:trHeight w:val="255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left"/>
              <w:rPr>
                <w:b/>
                <w:bCs/>
              </w:rPr>
            </w:pPr>
            <w:r w:rsidRPr="000A087F">
              <w:rPr>
                <w:b/>
                <w:bCs/>
              </w:rPr>
              <w:t>K1 - Személyi juttatások összesen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right"/>
              <w:rPr>
                <w:b/>
                <w:bCs/>
              </w:rPr>
            </w:pPr>
            <w:r w:rsidRPr="000A087F">
              <w:rPr>
                <w:b/>
                <w:bCs/>
              </w:rPr>
              <w:t>6 010 500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right"/>
              <w:rPr>
                <w:b/>
                <w:bCs/>
              </w:rPr>
            </w:pPr>
            <w:r w:rsidRPr="000A087F">
              <w:rPr>
                <w:b/>
                <w:bCs/>
              </w:rPr>
              <w:t>5 922 434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right"/>
              <w:rPr>
                <w:b/>
                <w:bCs/>
              </w:rPr>
            </w:pPr>
            <w:r w:rsidRPr="000A087F">
              <w:rPr>
                <w:b/>
                <w:bCs/>
              </w:rPr>
              <w:t>5 468 068</w:t>
            </w:r>
          </w:p>
        </w:tc>
      </w:tr>
      <w:tr w:rsidR="000A087F" w:rsidRPr="001E2802" w:rsidTr="000752E1">
        <w:trPr>
          <w:trHeight w:val="255"/>
          <w:jc w:val="center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left"/>
              <w:rPr>
                <w:b/>
                <w:bCs/>
              </w:rPr>
            </w:pPr>
            <w:r w:rsidRPr="000A087F">
              <w:rPr>
                <w:b/>
                <w:bCs/>
              </w:rPr>
              <w:t xml:space="preserve">K2 - </w:t>
            </w:r>
            <w:proofErr w:type="spellStart"/>
            <w:r w:rsidRPr="000A087F">
              <w:rPr>
                <w:b/>
                <w:bCs/>
              </w:rPr>
              <w:t>M.adókat</w:t>
            </w:r>
            <w:proofErr w:type="spellEnd"/>
            <w:r w:rsidRPr="000A087F">
              <w:rPr>
                <w:b/>
                <w:bCs/>
              </w:rPr>
              <w:t xml:space="preserve"> </w:t>
            </w:r>
            <w:proofErr w:type="spellStart"/>
            <w:r w:rsidRPr="000A087F">
              <w:rPr>
                <w:b/>
                <w:bCs/>
              </w:rPr>
              <w:t>terh.jár</w:t>
            </w:r>
            <w:proofErr w:type="gramStart"/>
            <w:r w:rsidRPr="000A087F">
              <w:rPr>
                <w:b/>
                <w:bCs/>
              </w:rPr>
              <w:t>.és</w:t>
            </w:r>
            <w:proofErr w:type="spellEnd"/>
            <w:proofErr w:type="gramEnd"/>
            <w:r w:rsidRPr="000A087F">
              <w:rPr>
                <w:b/>
                <w:bCs/>
              </w:rPr>
              <w:t xml:space="preserve"> </w:t>
            </w:r>
            <w:proofErr w:type="spellStart"/>
            <w:r w:rsidRPr="000A087F">
              <w:rPr>
                <w:b/>
                <w:bCs/>
              </w:rPr>
              <w:t>szoc.hj.adó</w:t>
            </w:r>
            <w:proofErr w:type="spell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right"/>
              <w:rPr>
                <w:b/>
                <w:bCs/>
              </w:rPr>
            </w:pPr>
            <w:r w:rsidRPr="000A087F">
              <w:rPr>
                <w:b/>
                <w:bCs/>
              </w:rPr>
              <w:t>1 690 300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right"/>
              <w:rPr>
                <w:b/>
                <w:bCs/>
              </w:rPr>
            </w:pPr>
            <w:r w:rsidRPr="000A087F">
              <w:rPr>
                <w:b/>
                <w:bCs/>
              </w:rPr>
              <w:t>1 695 088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A087F" w:rsidRPr="000A087F" w:rsidRDefault="000A087F" w:rsidP="00DE18A2">
            <w:pPr>
              <w:jc w:val="right"/>
              <w:rPr>
                <w:b/>
                <w:bCs/>
              </w:rPr>
            </w:pPr>
            <w:r w:rsidRPr="000A087F">
              <w:rPr>
                <w:b/>
                <w:bCs/>
              </w:rPr>
              <w:t>1 564 203</w:t>
            </w:r>
          </w:p>
        </w:tc>
      </w:tr>
    </w:tbl>
    <w:p w:rsidR="00DE18A2" w:rsidRDefault="00DE18A2" w:rsidP="00DE18A2"/>
    <w:p w:rsidR="00134503" w:rsidRDefault="00134503" w:rsidP="00134503">
      <w:r>
        <w:t xml:space="preserve">A Hivatal engedélyezett létszámkerete 1179 fő. Az induló létszámkeret 1123 fő volt, melyet a földművelésügyi miniszter az új feladatok tényleges munkaerő szükségletére tekintettel év közben megemelt.  Az éves átlagos statisztikai állományi létszám 1.124 fő volt, a munkajogi létszám ennél magasabb (záró: </w:t>
      </w:r>
      <w:r w:rsidRPr="00847403">
        <w:t>1.1</w:t>
      </w:r>
      <w:r>
        <w:t xml:space="preserve">79 fő) az elsősorban gyermekszületés miatt tartósan távollévő munkatársak miatt. A statisztikai létszám év közben nem érte el az engedélyezett létszámkeretet, ennek oka a rendkívüli nagy fluktuáció volt, amelyet a NÉBIH és a közigazgatás átszervezése miatti bizonytalanság érzés erősített fel. </w:t>
      </w:r>
    </w:p>
    <w:p w:rsidR="00134503" w:rsidRDefault="00134503" w:rsidP="00134503"/>
    <w:p w:rsidR="00134503" w:rsidRDefault="00134503" w:rsidP="00134503">
      <w:r>
        <w:t xml:space="preserve">Az előző évvel összehasonlítva a személyi juttatás kifizetése </w:t>
      </w:r>
      <w:r w:rsidRPr="00FC60E6">
        <w:rPr>
          <w:b/>
        </w:rPr>
        <w:t>7,2%-kal növekedett</w:t>
      </w:r>
      <w:r>
        <w:t xml:space="preserve">. Ebben a növekvő létszámkeret mellet az is szerepet játszott, hogy a Hivatal a béren kívüli juttatások fejlesztésével tudatosan próbálja megtartani jól képzett és elkötelezett szakembereit. </w:t>
      </w:r>
    </w:p>
    <w:p w:rsidR="00134503" w:rsidRDefault="00134503" w:rsidP="00DE18A2"/>
    <w:p w:rsidR="00DE18A2" w:rsidRDefault="00DE18A2" w:rsidP="00DE18A2">
      <w:r>
        <w:t>Céljuttatás, projektprémium kifizetésére kizárólag uniós forrás terhére került sor.</w:t>
      </w:r>
      <w:r w:rsidR="0019522A">
        <w:t xml:space="preserve"> Végkielégítés kifizetésére a szakmai bevezetőben jelezett munkáltatói</w:t>
      </w:r>
      <w:r w:rsidR="00774AFE">
        <w:t xml:space="preserve"> hatáskörű szervezeti</w:t>
      </w:r>
      <w:r w:rsidR="0019522A">
        <w:t xml:space="preserve"> intézkedések miatt </w:t>
      </w:r>
      <w:r w:rsidR="00774AFE">
        <w:t>volt szükség</w:t>
      </w:r>
      <w:r w:rsidR="0019522A">
        <w:t>.</w:t>
      </w:r>
      <w:r w:rsidR="00D87EAD">
        <w:t xml:space="preserve"> 2015-höz képest növ</w:t>
      </w:r>
      <w:r w:rsidR="00122BEA">
        <w:t xml:space="preserve">ekedett az elrendelt rendkívüli munkavégzések szabadidő-megváltása (a foglalkoztatottak egyéb személyi juttatásai részeként). Rendkívüli munkavégzést kellett elrendelni </w:t>
      </w:r>
      <w:r w:rsidR="00134503">
        <w:t xml:space="preserve">többek között </w:t>
      </w:r>
      <w:r w:rsidR="00122BEA">
        <w:t>a madárinfluenza járvány kezelése és koordinálása, a hétvégén és éjszaka zajló ellenőrzések és a</w:t>
      </w:r>
      <w:r w:rsidR="00134503">
        <w:t xml:space="preserve"> rendszerint</w:t>
      </w:r>
      <w:r w:rsidR="00122BEA">
        <w:t xml:space="preserve"> </w:t>
      </w:r>
      <w:r w:rsidR="00122BEA">
        <w:lastRenderedPageBreak/>
        <w:t>hétvégén szervezett vásárok, szakmai rendezvények miatt, ahol a kollégák a</w:t>
      </w:r>
      <w:r w:rsidR="00134503">
        <w:t xml:space="preserve"> NÉBIH standján a lakosság és az élelmiszerlánc szereplők tájékoztatásban, szemléletformálásában vettek részt. A rendkívüli munkavégzés szabadidőben történő megváltására a </w:t>
      </w:r>
      <w:proofErr w:type="spellStart"/>
      <w:r w:rsidR="00134503">
        <w:t>NÉBIH-nek</w:t>
      </w:r>
      <w:proofErr w:type="spellEnd"/>
      <w:r w:rsidR="00134503">
        <w:t xml:space="preserve"> nincs elegendő kapacitása. </w:t>
      </w:r>
      <w:r w:rsidR="00122BEA">
        <w:t xml:space="preserve">   </w:t>
      </w:r>
    </w:p>
    <w:p w:rsidR="005B6D67" w:rsidRDefault="005B6D67" w:rsidP="005B6D67"/>
    <w:p w:rsidR="005B6D67" w:rsidRPr="005B6D67" w:rsidRDefault="005B6D67" w:rsidP="005B6D67">
      <w:r w:rsidRPr="005B6D67">
        <w:t xml:space="preserve">2016. január 1. és 2016. december 31 között </w:t>
      </w:r>
      <w:r w:rsidRPr="009316F7">
        <w:rPr>
          <w:b/>
        </w:rPr>
        <w:t>105 fő</w:t>
      </w:r>
      <w:r w:rsidRPr="005B6D67">
        <w:t xml:space="preserve"> létesített jogviszonyt, az alábbi megoszlásban:</w:t>
      </w:r>
    </w:p>
    <w:p w:rsidR="005B6D67" w:rsidRPr="005B6D67" w:rsidRDefault="005B6D67" w:rsidP="005B6D67"/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337"/>
        <w:gridCol w:w="2632"/>
        <w:gridCol w:w="2671"/>
        <w:gridCol w:w="2646"/>
      </w:tblGrid>
      <w:tr w:rsidR="005B6D67" w:rsidRPr="005B6D67" w:rsidTr="005B6D67">
        <w:trPr>
          <w:jc w:val="center"/>
        </w:trPr>
        <w:tc>
          <w:tcPr>
            <w:tcW w:w="1337" w:type="dxa"/>
          </w:tcPr>
          <w:p w:rsidR="005B6D67" w:rsidRPr="005B6D67" w:rsidRDefault="005B6D67" w:rsidP="005B6D67">
            <w:pPr>
              <w:jc w:val="center"/>
              <w:rPr>
                <w:b/>
              </w:rPr>
            </w:pPr>
            <w:r w:rsidRPr="005B6D67">
              <w:rPr>
                <w:b/>
              </w:rPr>
              <w:t>Jogviszony típusa</w:t>
            </w:r>
          </w:p>
        </w:tc>
        <w:tc>
          <w:tcPr>
            <w:tcW w:w="2644" w:type="dxa"/>
          </w:tcPr>
          <w:p w:rsidR="005B6D67" w:rsidRPr="005B6D67" w:rsidRDefault="005B6D67" w:rsidP="005B6D67">
            <w:pPr>
              <w:jc w:val="center"/>
              <w:rPr>
                <w:b/>
              </w:rPr>
            </w:pPr>
            <w:r w:rsidRPr="005B6D67">
              <w:rPr>
                <w:b/>
              </w:rPr>
              <w:t>Részmunkaidőben</w:t>
            </w:r>
          </w:p>
        </w:tc>
        <w:tc>
          <w:tcPr>
            <w:tcW w:w="2694" w:type="dxa"/>
          </w:tcPr>
          <w:p w:rsidR="005B6D67" w:rsidRPr="005B6D67" w:rsidRDefault="005B6D67" w:rsidP="005B6D67">
            <w:pPr>
              <w:jc w:val="center"/>
              <w:rPr>
                <w:b/>
              </w:rPr>
            </w:pPr>
            <w:r w:rsidRPr="005B6D67">
              <w:rPr>
                <w:b/>
              </w:rPr>
              <w:t>Teljes munkaidőben</w:t>
            </w:r>
          </w:p>
        </w:tc>
        <w:tc>
          <w:tcPr>
            <w:tcW w:w="2680" w:type="dxa"/>
          </w:tcPr>
          <w:p w:rsidR="005B6D67" w:rsidRPr="005B6D67" w:rsidRDefault="005B6D67" w:rsidP="005B6D67">
            <w:pPr>
              <w:jc w:val="center"/>
              <w:rPr>
                <w:b/>
              </w:rPr>
            </w:pPr>
            <w:r w:rsidRPr="005B6D67">
              <w:rPr>
                <w:b/>
              </w:rPr>
              <w:t>Összesen</w:t>
            </w:r>
          </w:p>
        </w:tc>
      </w:tr>
      <w:tr w:rsidR="005B6D67" w:rsidRPr="005B6D67" w:rsidTr="005B6D67">
        <w:trPr>
          <w:jc w:val="center"/>
        </w:trPr>
        <w:tc>
          <w:tcPr>
            <w:tcW w:w="1337" w:type="dxa"/>
          </w:tcPr>
          <w:p w:rsidR="005B6D67" w:rsidRPr="005B6D67" w:rsidRDefault="005B6D67" w:rsidP="005B6D67">
            <w:proofErr w:type="spellStart"/>
            <w:r w:rsidRPr="005B6D67">
              <w:t>Kttv</w:t>
            </w:r>
            <w:proofErr w:type="spellEnd"/>
            <w:r w:rsidRPr="005B6D67">
              <w:t>.</w:t>
            </w:r>
          </w:p>
        </w:tc>
        <w:tc>
          <w:tcPr>
            <w:tcW w:w="2644" w:type="dxa"/>
          </w:tcPr>
          <w:p w:rsidR="005B6D67" w:rsidRPr="005B6D67" w:rsidRDefault="005B6D67" w:rsidP="005B6D67">
            <w:pPr>
              <w:jc w:val="center"/>
            </w:pPr>
            <w:r w:rsidRPr="005B6D67">
              <w:t>1</w:t>
            </w:r>
          </w:p>
        </w:tc>
        <w:tc>
          <w:tcPr>
            <w:tcW w:w="2694" w:type="dxa"/>
          </w:tcPr>
          <w:p w:rsidR="005B6D67" w:rsidRPr="005B6D67" w:rsidRDefault="005B6D67" w:rsidP="005B6D67">
            <w:pPr>
              <w:jc w:val="center"/>
            </w:pPr>
            <w:r w:rsidRPr="005B6D67">
              <w:t>104</w:t>
            </w:r>
          </w:p>
        </w:tc>
        <w:tc>
          <w:tcPr>
            <w:tcW w:w="2680" w:type="dxa"/>
          </w:tcPr>
          <w:p w:rsidR="005B6D67" w:rsidRPr="005B6D67" w:rsidRDefault="005B6D67" w:rsidP="005B6D67">
            <w:pPr>
              <w:jc w:val="center"/>
            </w:pPr>
            <w:r w:rsidRPr="005B6D67">
              <w:t>105</w:t>
            </w:r>
          </w:p>
        </w:tc>
      </w:tr>
      <w:tr w:rsidR="005B6D67" w:rsidRPr="005B6D67" w:rsidTr="005B6D67">
        <w:trPr>
          <w:jc w:val="center"/>
        </w:trPr>
        <w:tc>
          <w:tcPr>
            <w:tcW w:w="1337" w:type="dxa"/>
            <w:tcBorders>
              <w:bottom w:val="single" w:sz="4" w:space="0" w:color="auto"/>
            </w:tcBorders>
          </w:tcPr>
          <w:p w:rsidR="005B6D67" w:rsidRPr="005B6D67" w:rsidRDefault="005B6D67" w:rsidP="005B6D67">
            <w:r w:rsidRPr="005B6D67">
              <w:t>Mt.</w:t>
            </w: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5B6D67" w:rsidRPr="005B6D67" w:rsidRDefault="005B6D67" w:rsidP="005B6D67">
            <w:pPr>
              <w:jc w:val="center"/>
            </w:pPr>
            <w:r w:rsidRPr="005B6D67">
              <w:t>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B6D67" w:rsidRPr="005B6D67" w:rsidRDefault="005B6D67" w:rsidP="005B6D67">
            <w:pPr>
              <w:jc w:val="center"/>
            </w:pPr>
            <w:r w:rsidRPr="005B6D67">
              <w:t>0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:rsidR="005B6D67" w:rsidRPr="005B6D67" w:rsidRDefault="005B6D67" w:rsidP="005B6D67">
            <w:pPr>
              <w:jc w:val="center"/>
            </w:pPr>
            <w:r w:rsidRPr="005B6D67">
              <w:t>0</w:t>
            </w:r>
          </w:p>
        </w:tc>
      </w:tr>
      <w:tr w:rsidR="005B6D67" w:rsidRPr="005B6D67" w:rsidTr="005B6D67">
        <w:trPr>
          <w:jc w:val="center"/>
        </w:trPr>
        <w:tc>
          <w:tcPr>
            <w:tcW w:w="1337" w:type="dxa"/>
            <w:shd w:val="pct10" w:color="auto" w:fill="auto"/>
          </w:tcPr>
          <w:p w:rsidR="005B6D67" w:rsidRPr="005B6D67" w:rsidRDefault="005B6D67" w:rsidP="005B6D67">
            <w:pPr>
              <w:jc w:val="left"/>
              <w:rPr>
                <w:b/>
                <w:color w:val="000000"/>
              </w:rPr>
            </w:pPr>
            <w:r w:rsidRPr="005B6D67">
              <w:rPr>
                <w:b/>
                <w:color w:val="000000"/>
              </w:rPr>
              <w:t>összesen</w:t>
            </w:r>
          </w:p>
        </w:tc>
        <w:tc>
          <w:tcPr>
            <w:tcW w:w="2644" w:type="dxa"/>
            <w:shd w:val="pct10" w:color="auto" w:fill="auto"/>
          </w:tcPr>
          <w:p w:rsidR="005B6D67" w:rsidRPr="005B6D67" w:rsidRDefault="005B6D67" w:rsidP="005B6D67">
            <w:pPr>
              <w:jc w:val="center"/>
              <w:rPr>
                <w:b/>
                <w:color w:val="000000"/>
              </w:rPr>
            </w:pPr>
            <w:r w:rsidRPr="005B6D67">
              <w:rPr>
                <w:b/>
                <w:color w:val="000000"/>
              </w:rPr>
              <w:t>1</w:t>
            </w:r>
          </w:p>
        </w:tc>
        <w:tc>
          <w:tcPr>
            <w:tcW w:w="2694" w:type="dxa"/>
            <w:shd w:val="pct10" w:color="auto" w:fill="auto"/>
          </w:tcPr>
          <w:p w:rsidR="005B6D67" w:rsidRPr="005B6D67" w:rsidRDefault="005B6D67" w:rsidP="005B6D67">
            <w:pPr>
              <w:jc w:val="center"/>
              <w:rPr>
                <w:b/>
                <w:color w:val="000000"/>
              </w:rPr>
            </w:pPr>
            <w:r w:rsidRPr="005B6D67">
              <w:rPr>
                <w:b/>
                <w:color w:val="000000"/>
              </w:rPr>
              <w:t>104</w:t>
            </w:r>
          </w:p>
        </w:tc>
        <w:tc>
          <w:tcPr>
            <w:tcW w:w="2680" w:type="dxa"/>
            <w:shd w:val="pct10" w:color="auto" w:fill="auto"/>
          </w:tcPr>
          <w:p w:rsidR="005B6D67" w:rsidRPr="005B6D67" w:rsidRDefault="005B6D67" w:rsidP="005B6D67">
            <w:pPr>
              <w:jc w:val="center"/>
              <w:rPr>
                <w:b/>
                <w:color w:val="000000"/>
              </w:rPr>
            </w:pPr>
            <w:r w:rsidRPr="005B6D67">
              <w:rPr>
                <w:b/>
                <w:color w:val="000000"/>
              </w:rPr>
              <w:t>105</w:t>
            </w:r>
          </w:p>
        </w:tc>
      </w:tr>
    </w:tbl>
    <w:p w:rsidR="005B6D67" w:rsidRPr="005B6D67" w:rsidRDefault="005B6D67" w:rsidP="005B6D67"/>
    <w:p w:rsidR="005B6D67" w:rsidRPr="005B6D67" w:rsidRDefault="005B6D67" w:rsidP="005B6D67">
      <w:r w:rsidRPr="005B6D67">
        <w:t>2016. évben Munka törvénykönyve hatálya alá tartozó dolgozó nem került felvételre, csak kormányzati szolgálati jogviszonyba kerültek kinevezésre kormánytisztviselők. Ebből egy évnél kevesebb jogviszonnyal rendelkező kormánytisztviselő 35 fő volt, 1-3 év tapasztalattal 18 fő, 3-5 év tapasztalattal 7 fő, 5 év feletti tapasztalattal 45 fő került foglalkoztatásra.</w:t>
      </w:r>
      <w:r w:rsidR="009316F7">
        <w:t xml:space="preserve"> Az új belépők aránya az engedélyezett létszámkerethez képest 8,9%.</w:t>
      </w:r>
    </w:p>
    <w:p w:rsidR="005B6D67" w:rsidRPr="005B6D67" w:rsidRDefault="005B6D67" w:rsidP="005B6D67"/>
    <w:p w:rsidR="005B6D67" w:rsidRPr="005B6D67" w:rsidRDefault="005B6D67" w:rsidP="005B6D67">
      <w:proofErr w:type="gramStart"/>
      <w:r w:rsidRPr="005B6D67">
        <w:t xml:space="preserve">2016. évben </w:t>
      </w:r>
      <w:r w:rsidRPr="009316F7">
        <w:rPr>
          <w:b/>
        </w:rPr>
        <w:t>191 főnek</w:t>
      </w:r>
      <w:r w:rsidRPr="005B6D67">
        <w:t xml:space="preserve"> szűnt meg a jogviszonya ebből elhalálozás miatt </w:t>
      </w:r>
      <w:r w:rsidRPr="005B6D67">
        <w:rPr>
          <w:b/>
        </w:rPr>
        <w:t>1</w:t>
      </w:r>
      <w:r w:rsidRPr="005B6D67">
        <w:t xml:space="preserve"> főnek, végleges közigazgatási áthelyezéssel </w:t>
      </w:r>
      <w:r w:rsidRPr="005B6D67">
        <w:rPr>
          <w:b/>
        </w:rPr>
        <w:t>9</w:t>
      </w:r>
      <w:r w:rsidRPr="005B6D67">
        <w:t xml:space="preserve"> főnek, próbaidő alatt azonnali hatállyal </w:t>
      </w:r>
      <w:r w:rsidRPr="005B6D67">
        <w:rPr>
          <w:b/>
        </w:rPr>
        <w:t>13</w:t>
      </w:r>
      <w:r w:rsidRPr="005B6D67">
        <w:t xml:space="preserve"> főnek, lemondással </w:t>
      </w:r>
      <w:r w:rsidRPr="005B6D67">
        <w:rPr>
          <w:b/>
        </w:rPr>
        <w:t>9</w:t>
      </w:r>
      <w:r w:rsidRPr="005B6D67">
        <w:t xml:space="preserve"> főnek, felmentéssel </w:t>
      </w:r>
      <w:r w:rsidRPr="005B6D67">
        <w:rPr>
          <w:b/>
        </w:rPr>
        <w:t>66</w:t>
      </w:r>
      <w:r w:rsidRPr="005B6D67">
        <w:t xml:space="preserve"> főnek, közös megegyezéssel </w:t>
      </w:r>
      <w:r w:rsidRPr="005B6D67">
        <w:rPr>
          <w:b/>
        </w:rPr>
        <w:t>69</w:t>
      </w:r>
      <w:r w:rsidRPr="005B6D67">
        <w:t xml:space="preserve"> főnek, határozott idő lejárta miatt </w:t>
      </w:r>
      <w:r w:rsidRPr="005B6D67">
        <w:rPr>
          <w:b/>
        </w:rPr>
        <w:t>17</w:t>
      </w:r>
      <w:r w:rsidRPr="005B6D67">
        <w:t xml:space="preserve"> főnek, alkalmatlanság miatt </w:t>
      </w:r>
      <w:r w:rsidRPr="005B6D67">
        <w:rPr>
          <w:b/>
        </w:rPr>
        <w:t>1 főnek</w:t>
      </w:r>
      <w:r w:rsidRPr="005B6D67">
        <w:t xml:space="preserve">, </w:t>
      </w:r>
      <w:proofErr w:type="spellStart"/>
      <w:r w:rsidRPr="005B6D67">
        <w:t>PéP</w:t>
      </w:r>
      <w:proofErr w:type="spellEnd"/>
      <w:r w:rsidRPr="005B6D67">
        <w:t xml:space="preserve"> törvény alapján a határozott idő lejártával </w:t>
      </w:r>
      <w:r w:rsidRPr="005B6D67">
        <w:rPr>
          <w:b/>
        </w:rPr>
        <w:t>3 főnek</w:t>
      </w:r>
      <w:r w:rsidRPr="005B6D67">
        <w:t xml:space="preserve">, öregségi nyugdíjkorhatár betöltésére tekintettel </w:t>
      </w:r>
      <w:r w:rsidRPr="005B6D67">
        <w:rPr>
          <w:b/>
        </w:rPr>
        <w:t>2 főnek</w:t>
      </w:r>
      <w:r w:rsidRPr="005B6D67">
        <w:t xml:space="preserve">, </w:t>
      </w:r>
      <w:r w:rsidRPr="005B6D67">
        <w:rPr>
          <w:b/>
        </w:rPr>
        <w:t>1 főnek</w:t>
      </w:r>
      <w:r w:rsidRPr="005B6D67">
        <w:t xml:space="preserve"> pedig rendes felmondással a munkáltató részéről.</w:t>
      </w:r>
      <w:proofErr w:type="gramEnd"/>
      <w:r w:rsidRPr="005B6D67">
        <w:t xml:space="preserve"> </w:t>
      </w:r>
      <w:r w:rsidR="009316F7">
        <w:t>A kilépők aránya az engedélyezett létszámkerethez képest 16,2%.</w:t>
      </w:r>
    </w:p>
    <w:p w:rsidR="005B6D67" w:rsidRDefault="005B6D67" w:rsidP="005B6D67">
      <w:r w:rsidRPr="00FC5B96">
        <w:rPr>
          <w:noProof/>
        </w:rPr>
        <w:drawing>
          <wp:inline distT="0" distB="0" distL="0" distR="0" wp14:anchorId="12299BAE" wp14:editId="614622F3">
            <wp:extent cx="6209969" cy="2973788"/>
            <wp:effectExtent l="0" t="0" r="635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B6D67" w:rsidRDefault="005B6D67" w:rsidP="005B6D67"/>
    <w:p w:rsidR="005B6D67" w:rsidRDefault="005B6D67" w:rsidP="005B6D67">
      <w:r>
        <w:t xml:space="preserve">A Hivatal </w:t>
      </w:r>
      <w:r w:rsidRPr="00E93C5A">
        <w:rPr>
          <w:b/>
        </w:rPr>
        <w:t>statisztikai létszáma</w:t>
      </w:r>
      <w:r>
        <w:t xml:space="preserve"> 2016. december 31-én </w:t>
      </w:r>
      <w:r w:rsidRPr="00C542B9">
        <w:rPr>
          <w:b/>
        </w:rPr>
        <w:t>1</w:t>
      </w:r>
      <w:r w:rsidR="009316F7">
        <w:rPr>
          <w:b/>
        </w:rPr>
        <w:t>.</w:t>
      </w:r>
      <w:r w:rsidRPr="00C542B9">
        <w:rPr>
          <w:b/>
        </w:rPr>
        <w:t>112 fő volt</w:t>
      </w:r>
      <w:r>
        <w:t xml:space="preserve">, melynek kor összetételét tekintve a következő: 30 év alatti munkatárs 146 fő, 31 és 40 év közötti 294 fő, 41 és 50 év közötti 346 fő, 51 és 60 év közötti 271 fő, 61 év feletti 55 fő. </w:t>
      </w:r>
      <w:r w:rsidR="009316F7">
        <w:t>A korösszetételt szemlélteti a következő diagram:</w:t>
      </w:r>
    </w:p>
    <w:p w:rsidR="005B6D67" w:rsidRDefault="005B6D67" w:rsidP="005B6D67"/>
    <w:p w:rsidR="005B6D67" w:rsidRDefault="005B6D67" w:rsidP="005B6D67">
      <w:r w:rsidRPr="005C7115">
        <w:rPr>
          <w:noProof/>
        </w:rPr>
        <w:lastRenderedPageBreak/>
        <w:drawing>
          <wp:inline distT="0" distB="0" distL="0" distR="0" wp14:anchorId="13DFE87C" wp14:editId="0FE6A654">
            <wp:extent cx="5756745" cy="2918129"/>
            <wp:effectExtent l="0" t="0" r="15875" b="15875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B6D67" w:rsidRDefault="005B6D67" w:rsidP="005B6D67"/>
    <w:p w:rsidR="00610814" w:rsidRDefault="00610814" w:rsidP="000752E1">
      <w:pPr>
        <w:jc w:val="left"/>
      </w:pPr>
      <w:r>
        <w:t xml:space="preserve">A Hivatal </w:t>
      </w:r>
      <w:r w:rsidRPr="000E39B3">
        <w:rPr>
          <w:b/>
        </w:rPr>
        <w:t>dologi kiadási</w:t>
      </w:r>
      <w:r>
        <w:t xml:space="preserve"> előirányzata a következő bontásban teljesült:</w:t>
      </w:r>
    </w:p>
    <w:p w:rsidR="00610814" w:rsidRDefault="00610814" w:rsidP="00610814">
      <w:pPr>
        <w:rPr>
          <w:b/>
          <w:u w:val="single"/>
        </w:rPr>
      </w:pPr>
    </w:p>
    <w:tbl>
      <w:tblPr>
        <w:tblW w:w="8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330"/>
        <w:gridCol w:w="1580"/>
        <w:gridCol w:w="1580"/>
      </w:tblGrid>
      <w:tr w:rsidR="00610814" w:rsidRPr="00F91397" w:rsidTr="00610814">
        <w:trPr>
          <w:trHeight w:val="300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814" w:rsidRPr="00F91397" w:rsidRDefault="00610814" w:rsidP="00610814">
            <w:pPr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F91397">
              <w:rPr>
                <w:color w:val="000000"/>
                <w:sz w:val="20"/>
                <w:szCs w:val="20"/>
                <w:u w:val="single"/>
              </w:rPr>
              <w:t>2016. évi dologi kiadások előirányzat-teljesítés</w:t>
            </w:r>
          </w:p>
        </w:tc>
      </w:tr>
      <w:tr w:rsidR="00610814" w:rsidRPr="00F91397" w:rsidTr="008A1156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814" w:rsidRPr="00F91397" w:rsidRDefault="00610814" w:rsidP="00610814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814" w:rsidRPr="00F91397" w:rsidRDefault="00610814" w:rsidP="00610814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6F7" w:rsidRPr="00F91397" w:rsidRDefault="00610814" w:rsidP="009316F7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F91397">
              <w:rPr>
                <w:i/>
                <w:iCs/>
                <w:color w:val="000000"/>
                <w:sz w:val="20"/>
                <w:szCs w:val="20"/>
              </w:rPr>
              <w:t>adatok ezer Ft-ban</w:t>
            </w:r>
          </w:p>
        </w:tc>
      </w:tr>
      <w:tr w:rsidR="009316F7" w:rsidRPr="00F91397" w:rsidTr="008A1156">
        <w:trPr>
          <w:cantSplit/>
          <w:trHeight w:val="5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316F7" w:rsidRPr="009316F7" w:rsidRDefault="009316F7" w:rsidP="009316F7">
            <w:pPr>
              <w:jc w:val="center"/>
              <w:rPr>
                <w:color w:val="000000"/>
              </w:rPr>
            </w:pPr>
            <w:r w:rsidRPr="009316F7">
              <w:rPr>
                <w:color w:val="000000"/>
              </w:rPr>
              <w:t>Megnevezés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316F7" w:rsidRPr="009316F7" w:rsidRDefault="009316F7" w:rsidP="009316F7">
            <w:pPr>
              <w:jc w:val="center"/>
              <w:rPr>
                <w:color w:val="000000"/>
              </w:rPr>
            </w:pPr>
            <w:r w:rsidRPr="009316F7">
              <w:rPr>
                <w:color w:val="000000"/>
              </w:rPr>
              <w:t>Eredeti</w:t>
            </w:r>
          </w:p>
          <w:p w:rsidR="009316F7" w:rsidRPr="009316F7" w:rsidRDefault="009316F7" w:rsidP="009316F7">
            <w:pPr>
              <w:jc w:val="center"/>
              <w:rPr>
                <w:color w:val="000000"/>
              </w:rPr>
            </w:pPr>
            <w:r w:rsidRPr="009316F7">
              <w:rPr>
                <w:color w:val="000000"/>
              </w:rPr>
              <w:t>előirányzat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316F7" w:rsidRPr="009316F7" w:rsidRDefault="009316F7" w:rsidP="009316F7">
            <w:pPr>
              <w:jc w:val="center"/>
              <w:rPr>
                <w:color w:val="000000"/>
              </w:rPr>
            </w:pPr>
            <w:r w:rsidRPr="009316F7">
              <w:rPr>
                <w:color w:val="000000"/>
              </w:rPr>
              <w:t>Módosított</w:t>
            </w:r>
          </w:p>
          <w:p w:rsidR="009316F7" w:rsidRPr="009316F7" w:rsidRDefault="009316F7" w:rsidP="009316F7">
            <w:pPr>
              <w:jc w:val="center"/>
              <w:rPr>
                <w:color w:val="000000"/>
              </w:rPr>
            </w:pPr>
            <w:r w:rsidRPr="009316F7">
              <w:rPr>
                <w:color w:val="000000"/>
              </w:rPr>
              <w:t>előirányzat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9316F7" w:rsidRPr="009316F7" w:rsidRDefault="009316F7" w:rsidP="009316F7">
            <w:pPr>
              <w:jc w:val="center"/>
              <w:rPr>
                <w:color w:val="000000"/>
              </w:rPr>
            </w:pPr>
            <w:r w:rsidRPr="009316F7">
              <w:rPr>
                <w:color w:val="000000"/>
              </w:rPr>
              <w:t>Teljesítés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K311 - Szakmai anyagok beszerzése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1 050 720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2 187 360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2 047 183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K312 - Üzemeltetési anyagok beszerzése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166 000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357 837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323 540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 xml:space="preserve">K321 - Informatikai </w:t>
            </w:r>
            <w:proofErr w:type="spellStart"/>
            <w:r w:rsidRPr="009316F7">
              <w:rPr>
                <w:color w:val="000000"/>
              </w:rPr>
              <w:t>szolgált</w:t>
            </w:r>
            <w:proofErr w:type="gramStart"/>
            <w:r w:rsidRPr="009316F7">
              <w:rPr>
                <w:color w:val="000000"/>
              </w:rPr>
              <w:t>.igénybevétele</w:t>
            </w:r>
            <w:proofErr w:type="spellEnd"/>
            <w:proofErr w:type="gramEnd"/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400 000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607 172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574 442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K322 - Egyéb kommunikációs szolgáltatások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42 677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37 024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K331 - Közüzemi díjak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260 000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322 428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309 132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K332 - Vásárolt élelmezés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496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K333 - Bérleti és lízing díjak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415 000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551 066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537 083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 xml:space="preserve">K334 - </w:t>
            </w:r>
            <w:proofErr w:type="spellStart"/>
            <w:r w:rsidRPr="009316F7">
              <w:rPr>
                <w:color w:val="000000"/>
              </w:rPr>
              <w:t>Karbant</w:t>
            </w:r>
            <w:proofErr w:type="spellEnd"/>
            <w:proofErr w:type="gramStart"/>
            <w:r w:rsidRPr="009316F7">
              <w:rPr>
                <w:color w:val="000000"/>
              </w:rPr>
              <w:t>.,</w:t>
            </w:r>
            <w:proofErr w:type="gramEnd"/>
            <w:r w:rsidRPr="009316F7">
              <w:rPr>
                <w:color w:val="000000"/>
              </w:rPr>
              <w:t xml:space="preserve"> </w:t>
            </w:r>
            <w:proofErr w:type="spellStart"/>
            <w:r w:rsidRPr="009316F7">
              <w:rPr>
                <w:color w:val="000000"/>
              </w:rPr>
              <w:t>kisjavít</w:t>
            </w:r>
            <w:proofErr w:type="spellEnd"/>
            <w:r w:rsidRPr="009316F7">
              <w:rPr>
                <w:color w:val="000000"/>
              </w:rPr>
              <w:t>. szolgált.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163 000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287 956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264 510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K335 - Közvetített szolgáltatások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8 962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3 938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 xml:space="preserve">K336 - Szakmai </w:t>
            </w:r>
            <w:proofErr w:type="spellStart"/>
            <w:r w:rsidRPr="009316F7">
              <w:rPr>
                <w:color w:val="000000"/>
              </w:rPr>
              <w:t>tev</w:t>
            </w:r>
            <w:proofErr w:type="spellEnd"/>
            <w:r w:rsidRPr="009316F7">
              <w:rPr>
                <w:color w:val="000000"/>
              </w:rPr>
              <w:t>. segítő szolgált.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236 000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316 746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270 527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K337 - Egyéb szolgáltatások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1 050 000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1 595 887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1 527 581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K341 - Kiküldetések kiadásai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34 000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50 194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43 676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K342 - Reklám- és propaganda kiadások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78 000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141 491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109 287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 xml:space="preserve">K351 - </w:t>
            </w:r>
            <w:proofErr w:type="spellStart"/>
            <w:r w:rsidRPr="009316F7">
              <w:rPr>
                <w:color w:val="000000"/>
              </w:rPr>
              <w:t>Műk</w:t>
            </w:r>
            <w:proofErr w:type="gramStart"/>
            <w:r w:rsidRPr="009316F7">
              <w:rPr>
                <w:color w:val="000000"/>
              </w:rPr>
              <w:t>.c.el</w:t>
            </w:r>
            <w:proofErr w:type="gramEnd"/>
            <w:r w:rsidRPr="009316F7">
              <w:rPr>
                <w:color w:val="000000"/>
              </w:rPr>
              <w:t>őz.felsz.ált.forg.adó</w:t>
            </w:r>
            <w:proofErr w:type="spellEnd"/>
            <w:r w:rsidRPr="009316F7">
              <w:rPr>
                <w:color w:val="000000"/>
              </w:rPr>
              <w:t xml:space="preserve">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944 000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1 647 781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1 486 575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K352 - Fizetendő általános forgalmi adó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575 000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874 901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850 011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K354 - Egyéb pénzügyi műveletek kiadásai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516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376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0814" w:rsidRPr="009316F7" w:rsidRDefault="00610814" w:rsidP="009316F7">
            <w:pPr>
              <w:jc w:val="left"/>
              <w:rPr>
                <w:color w:val="000000"/>
              </w:rPr>
            </w:pPr>
            <w:r w:rsidRPr="009316F7">
              <w:rPr>
                <w:color w:val="000000"/>
              </w:rPr>
              <w:t>K355 - Egyéb dologi kiadások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120 000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149 957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color w:val="000000"/>
              </w:rPr>
            </w:pPr>
            <w:r w:rsidRPr="009316F7">
              <w:rPr>
                <w:color w:val="000000"/>
              </w:rPr>
              <w:t>140 203</w:t>
            </w:r>
          </w:p>
        </w:tc>
      </w:tr>
      <w:tr w:rsidR="00610814" w:rsidRPr="00F91397" w:rsidTr="009316F7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bottom"/>
            <w:hideMark/>
          </w:tcPr>
          <w:p w:rsidR="00610814" w:rsidRPr="009316F7" w:rsidRDefault="00610814" w:rsidP="009316F7">
            <w:pPr>
              <w:jc w:val="left"/>
              <w:rPr>
                <w:b/>
                <w:bCs/>
                <w:color w:val="000000"/>
              </w:rPr>
            </w:pPr>
            <w:r w:rsidRPr="009316F7">
              <w:rPr>
                <w:b/>
                <w:bCs/>
                <w:color w:val="000000"/>
              </w:rPr>
              <w:t>K3 - Dologi kiadások összesen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b/>
                <w:bCs/>
                <w:color w:val="000000"/>
              </w:rPr>
            </w:pPr>
            <w:r w:rsidRPr="009316F7">
              <w:rPr>
                <w:b/>
                <w:bCs/>
                <w:color w:val="000000"/>
              </w:rPr>
              <w:t>5 527 600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b/>
                <w:bCs/>
                <w:color w:val="000000"/>
              </w:rPr>
            </w:pPr>
            <w:r w:rsidRPr="009316F7">
              <w:rPr>
                <w:b/>
                <w:bCs/>
                <w:color w:val="000000"/>
              </w:rPr>
              <w:t>9 143 437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bottom"/>
            <w:hideMark/>
          </w:tcPr>
          <w:p w:rsidR="00610814" w:rsidRPr="009316F7" w:rsidRDefault="00610814" w:rsidP="00610814">
            <w:pPr>
              <w:jc w:val="right"/>
              <w:rPr>
                <w:b/>
                <w:bCs/>
                <w:color w:val="000000"/>
              </w:rPr>
            </w:pPr>
            <w:r w:rsidRPr="009316F7">
              <w:rPr>
                <w:b/>
                <w:bCs/>
                <w:color w:val="000000"/>
              </w:rPr>
              <w:t>8 525 584</w:t>
            </w:r>
          </w:p>
        </w:tc>
      </w:tr>
    </w:tbl>
    <w:p w:rsidR="00610814" w:rsidRDefault="00610814" w:rsidP="00610814">
      <w:pPr>
        <w:pStyle w:val="Szvegtrzs"/>
        <w:rPr>
          <w:sz w:val="24"/>
        </w:rPr>
      </w:pPr>
    </w:p>
    <w:p w:rsidR="00610814" w:rsidRDefault="00610814" w:rsidP="00610814">
      <w:r w:rsidRPr="00C804ED">
        <w:lastRenderedPageBreak/>
        <w:t xml:space="preserve">A </w:t>
      </w:r>
      <w:r w:rsidRPr="00FC60E6">
        <w:rPr>
          <w:b/>
        </w:rPr>
        <w:t>dologi kiadások 2016-ban 5%-kal emelkedtek</w:t>
      </w:r>
      <w:r w:rsidRPr="00C804ED">
        <w:t xml:space="preserve"> a 2015. évi teljesítési adathoz képest, ez </w:t>
      </w:r>
      <w:r>
        <w:t>mintegy 426 millió Ft-ot jelent. Ebből azonban egyértelműem téves lenne azt a következtetést levonni, hogy a Hivatal kevésbé hatékonyan gazdálkodik. A növekedésnek három indoka van:</w:t>
      </w:r>
    </w:p>
    <w:p w:rsidR="00610814" w:rsidRPr="00EF2122" w:rsidRDefault="00610814" w:rsidP="00F1478A">
      <w:pPr>
        <w:pStyle w:val="Listaszerbekezds"/>
        <w:numPr>
          <w:ilvl w:val="0"/>
          <w:numId w:val="17"/>
        </w:numPr>
      </w:pPr>
      <w:r>
        <w:rPr>
          <w:sz w:val="24"/>
        </w:rPr>
        <w:t xml:space="preserve">a </w:t>
      </w:r>
      <w:r w:rsidR="003958F0">
        <w:rPr>
          <w:sz w:val="24"/>
        </w:rPr>
        <w:t>magas pathogenitású madárinfluenza</w:t>
      </w:r>
      <w:r>
        <w:rPr>
          <w:sz w:val="24"/>
        </w:rPr>
        <w:t xml:space="preserve"> járvány kiadásai (amelyek 2017-ben térülnek meg az állategészségügy járványhelyzetre szóló fejezeti célelőirányzatból);</w:t>
      </w:r>
    </w:p>
    <w:p w:rsidR="00610814" w:rsidRPr="00EF2122" w:rsidRDefault="00610814" w:rsidP="00F1478A">
      <w:pPr>
        <w:pStyle w:val="Listaszerbekezds"/>
        <w:numPr>
          <w:ilvl w:val="0"/>
          <w:numId w:val="17"/>
        </w:numPr>
      </w:pPr>
      <w:r>
        <w:rPr>
          <w:sz w:val="24"/>
        </w:rPr>
        <w:t>magasabb áfa befizetésekből, amely a szolgáltatási bevételek növekedésének következménye</w:t>
      </w:r>
      <w:proofErr w:type="gramStart"/>
      <w:r>
        <w:rPr>
          <w:sz w:val="24"/>
        </w:rPr>
        <w:t>;</w:t>
      </w:r>
      <w:proofErr w:type="spellStart"/>
      <w:r w:rsidR="00A82361">
        <w:rPr>
          <w:sz w:val="24"/>
        </w:rPr>
        <w:t>fv</w:t>
      </w:r>
      <w:proofErr w:type="spellEnd"/>
      <w:proofErr w:type="gramEnd"/>
    </w:p>
    <w:p w:rsidR="00610814" w:rsidRDefault="00610814" w:rsidP="00F1478A">
      <w:pPr>
        <w:pStyle w:val="Listaszerbekezds"/>
        <w:numPr>
          <w:ilvl w:val="0"/>
          <w:numId w:val="17"/>
        </w:numPr>
      </w:pPr>
      <w:r>
        <w:rPr>
          <w:sz w:val="24"/>
        </w:rPr>
        <w:t xml:space="preserve">a számlák kifizetésnek ütemezésből, hiszen a maradványcsökkentési elvárás miatt </w:t>
      </w:r>
      <w:proofErr w:type="gramStart"/>
      <w:r>
        <w:rPr>
          <w:sz w:val="24"/>
        </w:rPr>
        <w:t>2016. végén</w:t>
      </w:r>
      <w:proofErr w:type="gramEnd"/>
      <w:r>
        <w:rPr>
          <w:sz w:val="24"/>
        </w:rPr>
        <w:t xml:space="preserve"> arra kellett törekednünk, hogy a számlák a 2016. költségvetési év terhére, fizetési határidőn belül kiegyenlítésre kerüljenek.   </w:t>
      </w:r>
    </w:p>
    <w:p w:rsidR="00610814" w:rsidRDefault="00610814" w:rsidP="00610814"/>
    <w:p w:rsidR="00610814" w:rsidRPr="00F91397" w:rsidRDefault="00610814" w:rsidP="00610814">
      <w:pPr>
        <w:rPr>
          <w:highlight w:val="yellow"/>
        </w:rPr>
      </w:pPr>
      <w:r w:rsidRPr="00C804ED">
        <w:t xml:space="preserve">A növekedés a készletbeszerzés rovatokon: a szakmai anyagbeszerzés és az üzemeltetési </w:t>
      </w:r>
      <w:r w:rsidRPr="00B57D46">
        <w:t>anyagbeszerzés, valamint ehhez kapcsolódóan a fizetendő általános forgalmi adó sorokon figyelhető meg.  Ezen belül is a vegyszer és szakmai anyag, valamint a munkaruha, védőruha beszerzésére fordított kiadások növekedtek, amely a 2016. IV. negyedévében kezdődött madárinfluenza járvánnyal hozható összefüggésbe. Nőttek a különfél</w:t>
      </w:r>
      <w:r>
        <w:t>e</w:t>
      </w:r>
      <w:r w:rsidRPr="00B57D46">
        <w:t xml:space="preserve"> vakcina bes</w:t>
      </w:r>
      <w:r w:rsidR="00A83A1B">
        <w:t xml:space="preserve">zerzésére fordított kiadások is, elsősorban </w:t>
      </w:r>
      <w:proofErr w:type="spellStart"/>
      <w:r w:rsidR="003958F0">
        <w:t>Dél-Kelet</w:t>
      </w:r>
      <w:proofErr w:type="spellEnd"/>
      <w:r w:rsidR="00A83A1B">
        <w:t xml:space="preserve"> Európából terjedő </w:t>
      </w:r>
      <w:proofErr w:type="spellStart"/>
      <w:r w:rsidR="00A83A1B">
        <w:t>bőrcsomósodáskór</w:t>
      </w:r>
      <w:proofErr w:type="spellEnd"/>
      <w:r w:rsidR="00A83A1B">
        <w:t xml:space="preserve"> (</w:t>
      </w:r>
      <w:proofErr w:type="spellStart"/>
      <w:r w:rsidR="00A83A1B">
        <w:t>lumpy</w:t>
      </w:r>
      <w:proofErr w:type="spellEnd"/>
      <w:r w:rsidR="00A83A1B">
        <w:t xml:space="preserve"> </w:t>
      </w:r>
      <w:proofErr w:type="spellStart"/>
      <w:r w:rsidR="00A83A1B">
        <w:t>skin</w:t>
      </w:r>
      <w:proofErr w:type="spellEnd"/>
      <w:r w:rsidR="00A83A1B">
        <w:t xml:space="preserve"> </w:t>
      </w:r>
      <w:proofErr w:type="spellStart"/>
      <w:r w:rsidR="00A83A1B">
        <w:t>desease</w:t>
      </w:r>
      <w:proofErr w:type="spellEnd"/>
      <w:r w:rsidR="00A83A1B">
        <w:t xml:space="preserve"> - LSD) magyarországi első megjelenésnek veszélye miatt.</w:t>
      </w:r>
      <w:r w:rsidRPr="00B57D46">
        <w:t xml:space="preserve"> </w:t>
      </w:r>
    </w:p>
    <w:p w:rsidR="00610814" w:rsidRPr="00F91397" w:rsidRDefault="00610814" w:rsidP="00610814">
      <w:pPr>
        <w:rPr>
          <w:highlight w:val="yellow"/>
        </w:rPr>
      </w:pPr>
    </w:p>
    <w:p w:rsidR="00610814" w:rsidRDefault="00610814" w:rsidP="00610814">
      <w:r w:rsidRPr="00780110">
        <w:t xml:space="preserve">Csökkenés figyelhető meg ugyanakkor szinte minden további </w:t>
      </w:r>
      <w:r>
        <w:t>rovaton</w:t>
      </w:r>
      <w:r w:rsidRPr="00780110">
        <w:t xml:space="preserve">, átlagos mértéke 25%. A csökkenés - a %-ban kimutatott mértéke alapján – a közvetített szolgáltatásokon túl szakmai tevékenységet segítő szolgáltatások, az egyéb dologi kiadások, a közüzemi díjak és az egyéb kommunikációs szolgáltatások sorokon figyelhető meg. </w:t>
      </w:r>
      <w:r w:rsidRPr="00780110">
        <w:rPr>
          <w:b/>
        </w:rPr>
        <w:t>A csökkenés forint összegben kimutatott összege alapján a közüzemi díjak kiadásainak további mérséklődését, illetve a szakmai tevékenységet segítő szolgáltatási kiadások és bérleti díjak csökkenését szükséges kiemelni.</w:t>
      </w:r>
      <w:r w:rsidRPr="00780110">
        <w:t xml:space="preserve"> </w:t>
      </w:r>
    </w:p>
    <w:p w:rsidR="00153C60" w:rsidRDefault="00153C60" w:rsidP="00610814"/>
    <w:p w:rsidR="00610814" w:rsidRDefault="00153C60" w:rsidP="00610814">
      <w:r>
        <w:t>A bérleti díjak és ehhez kapcsolódóan az üzemeltetési díjak csökkenését egyértelműen a Hivatal által lefolytatott gépjármű flotta bérleti és üzemeltetési közbeszerzési eljárás okozta.</w:t>
      </w:r>
      <w:r w:rsidR="00247795" w:rsidRPr="00247795">
        <w:t xml:space="preserve"> </w:t>
      </w:r>
      <w:r w:rsidR="00247795">
        <w:t xml:space="preserve">A 2009. évben az akkor még a teljes </w:t>
      </w:r>
      <w:proofErr w:type="spellStart"/>
      <w:r w:rsidR="00247795">
        <w:t>MgSzH-ra</w:t>
      </w:r>
      <w:proofErr w:type="spellEnd"/>
      <w:r w:rsidR="00247795">
        <w:t xml:space="preserve"> megkötött bérleti szerződés 2015-ben lejárt. A 838 db-os bérelt flottából 760-at a megyei kormányhivatalokban használnak, 78-at a NÉBIH-nél. A Miniszterelnökség területi közigazgatásért felelős államtitkársága sem látott más lehetőséget ekkora volumenben a gépjárműpark pótlására, mint a flottabérlet újbóli kiírása. 2016. május 18-án a Miniszterelnökség Közbeszerzésért Felelős Helyettes Államtitkársága hozzájárulását adta az eredményhirdetéshez, ezt követően az egyetlen érvényes ajánlattevővel, az </w:t>
      </w:r>
      <w:proofErr w:type="spellStart"/>
      <w:r w:rsidR="00247795">
        <w:t>Arval</w:t>
      </w:r>
      <w:proofErr w:type="spellEnd"/>
      <w:r w:rsidR="00247795">
        <w:t xml:space="preserve"> Magyarország </w:t>
      </w:r>
      <w:proofErr w:type="spellStart"/>
      <w:r w:rsidR="00247795">
        <w:t>Kft.-vel</w:t>
      </w:r>
      <w:proofErr w:type="spellEnd"/>
      <w:r w:rsidR="00247795">
        <w:t xml:space="preserve"> 2016. július 1-jén megtörtént a szerződéskötés. A gépkocsik átadás-átvétele az új szerződés szerint augusztus közepétől kezdődött meg. Cserélni kellett a 100.000 km-nél többet futott használt autókat, az ajánlat szerint típusváltás miatt a mikrobuszokat, illetve minden autóba beépítésre került tasztatúra a nyilvántartáshoz. Az utolsó gépjármű átadása 2016. október 15-én volt.</w:t>
      </w:r>
      <w:r w:rsidR="00247795">
        <w:t xml:space="preserve"> </w:t>
      </w:r>
      <w:r w:rsidR="00855804">
        <w:t>2016-ban az ARVAL Magyarország Kft.</w:t>
      </w:r>
      <w:r w:rsidR="0069146D">
        <w:t xml:space="preserve"> </w:t>
      </w:r>
      <w:r w:rsidR="00855804">
        <w:t xml:space="preserve">részére már csak valamivel több, mint 1 Mrd Ft-ot kellett fizetnünk, miközben </w:t>
      </w:r>
      <w:r w:rsidR="00A93AAB">
        <w:t xml:space="preserve">ez </w:t>
      </w:r>
      <w:r w:rsidR="00855804">
        <w:t xml:space="preserve">korábban </w:t>
      </w:r>
      <w:r w:rsidR="00766ABD">
        <w:t xml:space="preserve">1,1 Mrd Ft felett volt. 2017-től, amikor a teljes évre az új szerződés vonatkozik, az éves kiadás 0,92 Mrd Ft lesz; </w:t>
      </w:r>
      <w:r w:rsidR="00DD6425">
        <w:t xml:space="preserve">azaz </w:t>
      </w:r>
      <w:r w:rsidR="00766ABD">
        <w:t>ez éves szinten 185 millió Ft-os megtakarítást jelent a műszaki színvonal fenntartása mellett</w:t>
      </w:r>
      <w:r w:rsidR="00DD6425">
        <w:t>, a műszaki korlátokat elérő gépkocsik folyamatos cseréjével.</w:t>
      </w:r>
      <w:r w:rsidR="00766ABD">
        <w:t xml:space="preserve"> Megjegyzendő, hogy már a 2016-ban realizált megtakarítás is nagyobb lett volna, amennyiben a Miniszterelnökségtől korábban érkezik</w:t>
      </w:r>
      <w:r w:rsidR="0069146D">
        <w:t xml:space="preserve"> meg a</w:t>
      </w:r>
      <w:r w:rsidR="00766ABD">
        <w:t xml:space="preserve"> </w:t>
      </w:r>
      <w:r w:rsidR="00766ABD" w:rsidRPr="00766ABD">
        <w:t>közbeszerzési eljárásban a támogató tartalmú szabályossági tanúsítvány</w:t>
      </w:r>
      <w:r w:rsidR="0069146D">
        <w:t xml:space="preserve">, mely előfeltétele a szerződéskötésnek. </w:t>
      </w:r>
    </w:p>
    <w:p w:rsidR="00610814" w:rsidRDefault="00610814" w:rsidP="00610814">
      <w:r w:rsidRPr="00780110">
        <w:lastRenderedPageBreak/>
        <w:t>A közüzemi kiadásokon belül a gáz- és villamos</w:t>
      </w:r>
      <w:r>
        <w:t xml:space="preserve"> </w:t>
      </w:r>
      <w:proofErr w:type="gramStart"/>
      <w:r w:rsidRPr="00780110">
        <w:t>energia szolgáltatási</w:t>
      </w:r>
      <w:proofErr w:type="gramEnd"/>
      <w:r w:rsidRPr="00780110">
        <w:t xml:space="preserve"> díjak csökkentek, köszönhetően a fogyasztási helyek teljes felülvizsgálatának és az új, elektronikus árlejtéssel kombinált közbeszerzési kiírásoknak. </w:t>
      </w:r>
      <w:proofErr w:type="spellStart"/>
      <w:r w:rsidRPr="00780110">
        <w:t>Távhő-</w:t>
      </w:r>
      <w:proofErr w:type="spellEnd"/>
      <w:r w:rsidRPr="00780110">
        <w:t xml:space="preserve">, és melegvíz-szolgáltatási, valamint víz- és csatornadíj sorokon 2015-évhez hasonló összegek szerepelnek. </w:t>
      </w:r>
    </w:p>
    <w:p w:rsidR="00610814" w:rsidRDefault="00610814" w:rsidP="00610814"/>
    <w:p w:rsidR="00610814" w:rsidRDefault="00610814" w:rsidP="00610814">
      <w:r w:rsidRPr="00780110">
        <w:t>A jogosult állatorvos hatásköréről és a működésével kapcsolatos részletes szabályokról szóló 369/2012. (XII.17.) Korm. rendelet alapján az élelmiszerlánc-felügyeleti szerv egyes állategészségügyi feladatainak ellátására a NÉBIH szolgáltató állatorvost bízhat meg, aki jogosult állatorvosként jár el. A jogszabály alapján a szolgáltató állatorvos és a NÉBIH megbízási szerződést kötnek. A kiadási soron a korábbi években megfigyelt növekedés nem jellemző, sőt 2016-ban csökkenés figyelhető meg, az ERA kódon realizált csökkenés felét a jogosult állatorvosi számlák kifizetésének csökkenése okozza. Csökkentek továbbá a jogi-, pénzügyi-, ügyviteli szolgáltatási és szakértői tevékenységi díjak.</w:t>
      </w:r>
    </w:p>
    <w:p w:rsidR="00610814" w:rsidRDefault="00610814" w:rsidP="00610814"/>
    <w:p w:rsidR="00610814" w:rsidRDefault="00610814" w:rsidP="00610814">
      <w:r w:rsidRPr="0065589A">
        <w:t xml:space="preserve">Az </w:t>
      </w:r>
      <w:proofErr w:type="gramStart"/>
      <w:r w:rsidRPr="0065589A">
        <w:rPr>
          <w:i/>
        </w:rPr>
        <w:t>A</w:t>
      </w:r>
      <w:proofErr w:type="gramEnd"/>
      <w:r w:rsidRPr="0065589A">
        <w:rPr>
          <w:i/>
        </w:rPr>
        <w:t xml:space="preserve"> jelű táblán</w:t>
      </w:r>
      <w:r w:rsidRPr="0065589A">
        <w:t xml:space="preserve"> bemutatott, a fejezet által az intézmény részére 2016-ben átcsoportosított pótelőirányzataiból </w:t>
      </w:r>
      <w:r w:rsidRPr="00610814">
        <w:t>dologi kiadásokra 60.630 ezer Ft pótelőirányzatot</w:t>
      </w:r>
      <w:r w:rsidRPr="0065589A">
        <w:t xml:space="preserve"> kapott a NÉBIH</w:t>
      </w:r>
      <w:r>
        <w:t>, amelynek felhasználása a támogatás</w:t>
      </w:r>
      <w:r w:rsidR="007F19D3">
        <w:t>i szerződés szerint kötött volt.</w:t>
      </w:r>
    </w:p>
    <w:p w:rsidR="00DE18A2" w:rsidRDefault="00DE18A2" w:rsidP="00DE18A2"/>
    <w:p w:rsidR="007F19D3" w:rsidRDefault="00F82E99" w:rsidP="009316F7">
      <w:r w:rsidRPr="00EA78CE">
        <w:t xml:space="preserve">A korábbi évekhez képest jelentősen megváltozott az </w:t>
      </w:r>
      <w:r w:rsidRPr="00EA78CE">
        <w:rPr>
          <w:b/>
        </w:rPr>
        <w:t xml:space="preserve">egyéb működési célú támogatások </w:t>
      </w:r>
      <w:r>
        <w:rPr>
          <w:b/>
        </w:rPr>
        <w:t>é</w:t>
      </w:r>
      <w:r w:rsidRPr="00EA78CE">
        <w:rPr>
          <w:b/>
        </w:rPr>
        <w:t>s átadott pénzeszközök</w:t>
      </w:r>
      <w:r>
        <w:t xml:space="preserve"> szerkezete. A változás mögött részben az áll, hogy a közigazgatás </w:t>
      </w:r>
      <w:r w:rsidR="00A82D00">
        <w:t xml:space="preserve">átalakítása miatt megszűnt a NÉBIH közvetlen irányító szerepe a kormányhivatalok szakigazgatási területei felett, így értelemszerűen a közvetlen pénzmozgások sem működhettek tovább pl. az MVH delegált feladatok ellátása kapcsán.  </w:t>
      </w:r>
      <w:r>
        <w:t xml:space="preserve"> </w:t>
      </w:r>
    </w:p>
    <w:p w:rsidR="00F82E99" w:rsidRDefault="00F82E99" w:rsidP="00F82E99"/>
    <w:tbl>
      <w:tblPr>
        <w:tblW w:w="0" w:type="auto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9"/>
        <w:gridCol w:w="1275"/>
        <w:gridCol w:w="1276"/>
        <w:gridCol w:w="1124"/>
      </w:tblGrid>
      <w:tr w:rsidR="00F82E99" w:rsidRPr="00C40843" w:rsidTr="00F82E99">
        <w:trPr>
          <w:trHeight w:val="255"/>
          <w:jc w:val="center"/>
        </w:trPr>
        <w:tc>
          <w:tcPr>
            <w:tcW w:w="82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E99" w:rsidRDefault="00F82E99" w:rsidP="00F82E99">
            <w:pPr>
              <w:jc w:val="center"/>
              <w:rPr>
                <w:color w:val="000000"/>
                <w:u w:val="single"/>
              </w:rPr>
            </w:pPr>
            <w:r w:rsidRPr="00C40843">
              <w:rPr>
                <w:color w:val="000000"/>
                <w:sz w:val="22"/>
                <w:szCs w:val="22"/>
                <w:u w:val="single"/>
              </w:rPr>
              <w:t>201</w:t>
            </w:r>
            <w:r>
              <w:rPr>
                <w:color w:val="000000"/>
                <w:sz w:val="22"/>
                <w:szCs w:val="22"/>
                <w:u w:val="single"/>
              </w:rPr>
              <w:t>6</w:t>
            </w:r>
            <w:r w:rsidRPr="00C40843">
              <w:rPr>
                <w:color w:val="000000"/>
                <w:sz w:val="22"/>
                <w:szCs w:val="22"/>
                <w:u w:val="single"/>
              </w:rPr>
              <w:t>. évi működési célú támogatások előirányzat-teljesítés</w:t>
            </w:r>
          </w:p>
          <w:p w:rsidR="00F82E99" w:rsidRPr="00C40843" w:rsidRDefault="00F82E99" w:rsidP="00F82E99">
            <w:pPr>
              <w:jc w:val="center"/>
              <w:rPr>
                <w:color w:val="000000"/>
                <w:u w:val="single"/>
              </w:rPr>
            </w:pP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E99" w:rsidRPr="00C40843" w:rsidRDefault="00F82E99" w:rsidP="00F82E99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E99" w:rsidRPr="00C40843" w:rsidRDefault="00F82E99" w:rsidP="00F82E99">
            <w:pPr>
              <w:rPr>
                <w:color w:val="00000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E99" w:rsidRPr="00C40843" w:rsidRDefault="00F82E99" w:rsidP="00F82E99">
            <w:pPr>
              <w:jc w:val="center"/>
              <w:rPr>
                <w:i/>
                <w:iCs/>
                <w:color w:val="000000"/>
              </w:rPr>
            </w:pPr>
            <w:r w:rsidRPr="00C40843">
              <w:rPr>
                <w:i/>
                <w:iCs/>
                <w:color w:val="000000"/>
                <w:sz w:val="22"/>
                <w:szCs w:val="22"/>
              </w:rPr>
              <w:t>adatok ezer Ft-ban</w:t>
            </w:r>
          </w:p>
        </w:tc>
      </w:tr>
      <w:tr w:rsidR="00F82E99" w:rsidRPr="00C40843" w:rsidTr="009316F7">
        <w:trPr>
          <w:trHeight w:val="510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82E99" w:rsidRPr="009316F7" w:rsidRDefault="00F82E99" w:rsidP="00F82E99">
            <w:pPr>
              <w:jc w:val="center"/>
            </w:pPr>
            <w:r w:rsidRPr="009316F7">
              <w:t>Megnevezés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82E99" w:rsidRPr="009316F7" w:rsidRDefault="00F82E99" w:rsidP="00F82E99">
            <w:pPr>
              <w:jc w:val="center"/>
            </w:pPr>
            <w:r w:rsidRPr="009316F7">
              <w:t xml:space="preserve">Eredeti </w:t>
            </w:r>
            <w:r w:rsidRPr="009316F7">
              <w:br/>
              <w:t>előirányzat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82E99" w:rsidRPr="009316F7" w:rsidRDefault="00F82E99" w:rsidP="00F82E99">
            <w:pPr>
              <w:jc w:val="center"/>
            </w:pPr>
            <w:r w:rsidRPr="009316F7">
              <w:t>Módosított</w:t>
            </w:r>
            <w:r w:rsidRPr="009316F7">
              <w:br/>
              <w:t xml:space="preserve">előirányzat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82E99" w:rsidRPr="009316F7" w:rsidRDefault="00F82E99" w:rsidP="00F82E99">
            <w:pPr>
              <w:jc w:val="center"/>
            </w:pPr>
            <w:r w:rsidRPr="009316F7">
              <w:t>Teljesítés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>K501 - Nemzetközi kötelezettségek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6 000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3 114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3 114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>K5023 - Egyéb elvonások, befizetések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26 831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19 060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 xml:space="preserve">K50601 - </w:t>
            </w:r>
            <w:proofErr w:type="spellStart"/>
            <w:r w:rsidRPr="009316F7">
              <w:t>Egy.műk</w:t>
            </w:r>
            <w:proofErr w:type="gramStart"/>
            <w:r w:rsidRPr="009316F7">
              <w:t>.c.t</w:t>
            </w:r>
            <w:proofErr w:type="gramEnd"/>
            <w:r w:rsidRPr="009316F7">
              <w:t>ám.Közp.költsv.szervnek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89 894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89 894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>K50604-Egy.műk</w:t>
            </w:r>
            <w:proofErr w:type="gramStart"/>
            <w:r w:rsidRPr="009316F7">
              <w:t>.c.</w:t>
            </w:r>
            <w:proofErr w:type="gramEnd"/>
            <w:r w:rsidRPr="009316F7">
              <w:t xml:space="preserve"> </w:t>
            </w:r>
            <w:proofErr w:type="spellStart"/>
            <w:r w:rsidRPr="009316F7">
              <w:t>tám.Egy.fej.kez.ei.k</w:t>
            </w:r>
            <w:proofErr w:type="spellEnd"/>
            <w:r w:rsidRPr="009316F7">
              <w:t xml:space="preserve"> r.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20 703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0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 xml:space="preserve">K50605- </w:t>
            </w:r>
            <w:proofErr w:type="spellStart"/>
            <w:r w:rsidRPr="009316F7">
              <w:t>Egy.műk</w:t>
            </w:r>
            <w:proofErr w:type="gramStart"/>
            <w:r w:rsidRPr="009316F7">
              <w:t>.c.t</w:t>
            </w:r>
            <w:proofErr w:type="gramEnd"/>
            <w:r w:rsidRPr="009316F7">
              <w:t>ám.TBpü-i</w:t>
            </w:r>
            <w:proofErr w:type="spellEnd"/>
            <w:r w:rsidRPr="009316F7">
              <w:t xml:space="preserve"> alapjai részére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222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222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>K51204-Egy.műk</w:t>
            </w:r>
            <w:proofErr w:type="gramStart"/>
            <w:r w:rsidRPr="009316F7">
              <w:t>.c.t</w:t>
            </w:r>
            <w:proofErr w:type="gramEnd"/>
            <w:r w:rsidRPr="009316F7">
              <w:t>ám. háztartások részére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250 357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250 357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 xml:space="preserve">K51206 - </w:t>
            </w:r>
            <w:proofErr w:type="spellStart"/>
            <w:r w:rsidRPr="009316F7">
              <w:t>Egy.műk</w:t>
            </w:r>
            <w:proofErr w:type="gramStart"/>
            <w:r w:rsidRPr="009316F7">
              <w:t>.c.t</w:t>
            </w:r>
            <w:proofErr w:type="gramEnd"/>
            <w:r w:rsidRPr="009316F7">
              <w:t>ám.Áll.tul.n.pügyi</w:t>
            </w:r>
            <w:proofErr w:type="spellEnd"/>
            <w:r w:rsidRPr="009316F7">
              <w:t xml:space="preserve"> váll.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243 780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1 413 088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1 413 078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>K51207-Egy.műk</w:t>
            </w:r>
            <w:proofErr w:type="gramStart"/>
            <w:r w:rsidRPr="009316F7">
              <w:t>.c.t</w:t>
            </w:r>
            <w:proofErr w:type="gramEnd"/>
            <w:r w:rsidRPr="009316F7">
              <w:t xml:space="preserve">ám.önk. </w:t>
            </w:r>
            <w:proofErr w:type="spellStart"/>
            <w:r w:rsidRPr="009316F7">
              <w:t>többs.tul-únem</w:t>
            </w:r>
            <w:proofErr w:type="spellEnd"/>
            <w:r w:rsidRPr="009316F7">
              <w:t xml:space="preserve"> </w:t>
            </w:r>
            <w:proofErr w:type="spellStart"/>
            <w:r w:rsidRPr="009316F7">
              <w:t>pü-i</w:t>
            </w:r>
            <w:proofErr w:type="spellEnd"/>
            <w:r w:rsidRPr="009316F7">
              <w:t xml:space="preserve"> </w:t>
            </w:r>
            <w:proofErr w:type="spellStart"/>
            <w:r w:rsidRPr="009316F7">
              <w:t>váll-k</w:t>
            </w:r>
            <w:proofErr w:type="spellEnd"/>
            <w:r w:rsidRPr="009316F7">
              <w:t xml:space="preserve"> r..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45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E99" w:rsidRPr="009316F7" w:rsidRDefault="00F82E99" w:rsidP="009316F7">
            <w:pPr>
              <w:jc w:val="left"/>
            </w:pPr>
            <w:r w:rsidRPr="009316F7">
              <w:t xml:space="preserve">K51208- </w:t>
            </w:r>
            <w:proofErr w:type="spellStart"/>
            <w:r w:rsidRPr="009316F7">
              <w:t>Egy.műk</w:t>
            </w:r>
            <w:proofErr w:type="gramStart"/>
            <w:r w:rsidRPr="009316F7">
              <w:t>.c.t</w:t>
            </w:r>
            <w:proofErr w:type="gramEnd"/>
            <w:r w:rsidRPr="009316F7">
              <w:t>ám</w:t>
            </w:r>
            <w:proofErr w:type="spellEnd"/>
            <w:r w:rsidRPr="009316F7">
              <w:t xml:space="preserve">. egyéb </w:t>
            </w:r>
            <w:proofErr w:type="spellStart"/>
            <w:r w:rsidRPr="009316F7">
              <w:t>vállalk</w:t>
            </w:r>
            <w:proofErr w:type="spellEnd"/>
            <w:r w:rsidRPr="009316F7">
              <w:t>. részére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960 216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E99" w:rsidRPr="009316F7" w:rsidRDefault="00F82E99" w:rsidP="00F82E99">
            <w:pPr>
              <w:jc w:val="right"/>
            </w:pPr>
            <w:r w:rsidRPr="009316F7">
              <w:t>960 216</w:t>
            </w:r>
          </w:p>
        </w:tc>
      </w:tr>
      <w:tr w:rsidR="00F82E99" w:rsidRPr="00C40843" w:rsidTr="009316F7">
        <w:trPr>
          <w:trHeight w:val="255"/>
          <w:jc w:val="center"/>
        </w:trPr>
        <w:tc>
          <w:tcPr>
            <w:tcW w:w="4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82E99" w:rsidRPr="009316F7" w:rsidRDefault="00F82E99" w:rsidP="009316F7">
            <w:pPr>
              <w:jc w:val="left"/>
              <w:rPr>
                <w:b/>
                <w:bCs/>
              </w:rPr>
            </w:pPr>
            <w:r w:rsidRPr="009316F7">
              <w:rPr>
                <w:b/>
                <w:bCs/>
              </w:rPr>
              <w:t xml:space="preserve">K5 - Egyéb </w:t>
            </w:r>
            <w:proofErr w:type="spellStart"/>
            <w:r w:rsidRPr="009316F7">
              <w:rPr>
                <w:b/>
                <w:bCs/>
              </w:rPr>
              <w:t>műk</w:t>
            </w:r>
            <w:proofErr w:type="gramStart"/>
            <w:r w:rsidRPr="009316F7">
              <w:rPr>
                <w:b/>
                <w:bCs/>
              </w:rPr>
              <w:t>.c.kiad</w:t>
            </w:r>
            <w:proofErr w:type="gramEnd"/>
            <w:r w:rsidRPr="009316F7">
              <w:rPr>
                <w:b/>
                <w:bCs/>
              </w:rPr>
              <w:t>.összesen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82E99" w:rsidRPr="009316F7" w:rsidRDefault="00F82E99" w:rsidP="00F82E99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300 000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82E99" w:rsidRPr="009316F7" w:rsidRDefault="00F82E99" w:rsidP="00F82E99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2 764 470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82E99" w:rsidRPr="009316F7" w:rsidRDefault="00F82E99" w:rsidP="00F82E99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2 735 986</w:t>
            </w:r>
          </w:p>
        </w:tc>
      </w:tr>
    </w:tbl>
    <w:p w:rsidR="00F82E99" w:rsidRDefault="00F82E99" w:rsidP="00F82E99"/>
    <w:p w:rsidR="00F82E99" w:rsidRDefault="00F82E99" w:rsidP="00F82E99">
      <w:r>
        <w:t>A nemzetközi kötelezettségek között az ISAG, ICAR, ISTA, tagsági díjak szerepelnek.</w:t>
      </w:r>
    </w:p>
    <w:p w:rsidR="00F82E99" w:rsidRDefault="00F82E99" w:rsidP="00F82E99">
      <w:r>
        <w:t>Az egyéb elvonások és befizetésekből kiemelendő, a költségvetési törvény előírásának megfelelően a be nem töltött áll</w:t>
      </w:r>
      <w:r w:rsidR="007F19D3">
        <w:t>áshelyekhez kapcsolódó 18 711 ezer F</w:t>
      </w:r>
      <w:r>
        <w:t>t befizetés a központi költségvetés javára.</w:t>
      </w:r>
    </w:p>
    <w:p w:rsidR="00F82E99" w:rsidRDefault="00F82E99" w:rsidP="00F82E99"/>
    <w:p w:rsidR="00F82E99" w:rsidRDefault="00F82E99" w:rsidP="00F82E99">
      <w:r>
        <w:lastRenderedPageBreak/>
        <w:t>A központi költségvetési szervek számára átadott pénzeszköz tartalmazza (e</w:t>
      </w:r>
      <w:r w:rsidR="007F19D3">
        <w:t xml:space="preserve">zer </w:t>
      </w:r>
      <w:r>
        <w:t>Ft):</w:t>
      </w:r>
    </w:p>
    <w:p w:rsidR="00F82E99" w:rsidRDefault="00F82E99" w:rsidP="00F82E99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1305"/>
      </w:tblGrid>
      <w:tr w:rsidR="00F82E99" w:rsidRPr="000E1576" w:rsidTr="00F82E99">
        <w:tc>
          <w:tcPr>
            <w:tcW w:w="4219" w:type="dxa"/>
          </w:tcPr>
          <w:p w:rsidR="00F82E99" w:rsidRPr="000E1576" w:rsidRDefault="00F82E99" w:rsidP="00F82E99">
            <w:pPr>
              <w:jc w:val="center"/>
              <w:rPr>
                <w:b/>
              </w:rPr>
            </w:pPr>
            <w:r w:rsidRPr="000E1576">
              <w:rPr>
                <w:b/>
              </w:rPr>
              <w:t>Partner</w:t>
            </w:r>
          </w:p>
        </w:tc>
        <w:tc>
          <w:tcPr>
            <w:tcW w:w="3686" w:type="dxa"/>
          </w:tcPr>
          <w:p w:rsidR="00F82E99" w:rsidRPr="000E1576" w:rsidRDefault="00F82E99" w:rsidP="00F82E99">
            <w:pPr>
              <w:jc w:val="center"/>
              <w:rPr>
                <w:b/>
              </w:rPr>
            </w:pPr>
            <w:r w:rsidRPr="000E1576">
              <w:rPr>
                <w:b/>
              </w:rPr>
              <w:t>Jogcím</w:t>
            </w:r>
          </w:p>
        </w:tc>
        <w:tc>
          <w:tcPr>
            <w:tcW w:w="1305" w:type="dxa"/>
          </w:tcPr>
          <w:p w:rsidR="00F82E99" w:rsidRPr="000E1576" w:rsidRDefault="00F82E99" w:rsidP="00F82E99">
            <w:pPr>
              <w:jc w:val="center"/>
              <w:rPr>
                <w:b/>
              </w:rPr>
            </w:pPr>
            <w:r w:rsidRPr="000E1576">
              <w:rPr>
                <w:b/>
              </w:rPr>
              <w:t>Összeg</w:t>
            </w:r>
          </w:p>
        </w:tc>
      </w:tr>
      <w:tr w:rsidR="00F82E99" w:rsidTr="00F82E99">
        <w:tc>
          <w:tcPr>
            <w:tcW w:w="4219" w:type="dxa"/>
            <w:vAlign w:val="center"/>
          </w:tcPr>
          <w:p w:rsidR="00F82E99" w:rsidRDefault="00A82D00" w:rsidP="00F82E99">
            <w:pPr>
              <w:jc w:val="left"/>
            </w:pPr>
            <w:r>
              <w:t>Megyei K</w:t>
            </w:r>
            <w:r w:rsidR="00F82E99">
              <w:t>ormányhivatalok</w:t>
            </w:r>
          </w:p>
        </w:tc>
        <w:tc>
          <w:tcPr>
            <w:tcW w:w="3686" w:type="dxa"/>
            <w:vAlign w:val="center"/>
          </w:tcPr>
          <w:p w:rsidR="00F82E99" w:rsidRDefault="00F82E99" w:rsidP="00F82E99">
            <w:pPr>
              <w:jc w:val="left"/>
            </w:pPr>
            <w:r>
              <w:t>Állatkártalanítás</w:t>
            </w:r>
            <w:r w:rsidR="00A82D00">
              <w:t xml:space="preserve"> hatósági költségeinek folyósítása</w:t>
            </w:r>
          </w:p>
        </w:tc>
        <w:tc>
          <w:tcPr>
            <w:tcW w:w="1305" w:type="dxa"/>
            <w:vAlign w:val="center"/>
          </w:tcPr>
          <w:p w:rsidR="00F82E99" w:rsidRDefault="00F82E99" w:rsidP="00F82E99">
            <w:pPr>
              <w:jc w:val="right"/>
            </w:pPr>
            <w:r>
              <w:t>23 793</w:t>
            </w:r>
          </w:p>
        </w:tc>
      </w:tr>
      <w:tr w:rsidR="00F82E99" w:rsidTr="00F82E99">
        <w:tc>
          <w:tcPr>
            <w:tcW w:w="4219" w:type="dxa"/>
            <w:vAlign w:val="center"/>
          </w:tcPr>
          <w:p w:rsidR="00F82E99" w:rsidRDefault="00F82E99" w:rsidP="00F82E99">
            <w:pPr>
              <w:jc w:val="left"/>
            </w:pPr>
            <w:r w:rsidRPr="004A6307">
              <w:t xml:space="preserve">Közigazgatási Programok </w:t>
            </w:r>
            <w:proofErr w:type="spellStart"/>
            <w:r w:rsidRPr="004A6307">
              <w:t>Lebony</w:t>
            </w:r>
            <w:proofErr w:type="gramStart"/>
            <w:r>
              <w:t>.</w:t>
            </w:r>
            <w:r w:rsidRPr="004A6307">
              <w:t>Sz</w:t>
            </w:r>
            <w:r>
              <w:t>erv</w:t>
            </w:r>
            <w:proofErr w:type="spellEnd"/>
            <w:proofErr w:type="gramEnd"/>
            <w:r>
              <w:t>.</w:t>
            </w:r>
          </w:p>
        </w:tc>
        <w:tc>
          <w:tcPr>
            <w:tcW w:w="3686" w:type="dxa"/>
            <w:vAlign w:val="center"/>
          </w:tcPr>
          <w:p w:rsidR="00F82E99" w:rsidRDefault="00F82E99" w:rsidP="00F82E99">
            <w:pPr>
              <w:jc w:val="left"/>
            </w:pPr>
            <w:r w:rsidRPr="004A6307">
              <w:t>FELIR-EKOP visszafiz. köt.</w:t>
            </w:r>
          </w:p>
        </w:tc>
        <w:tc>
          <w:tcPr>
            <w:tcW w:w="1305" w:type="dxa"/>
            <w:vAlign w:val="center"/>
          </w:tcPr>
          <w:p w:rsidR="00F82E99" w:rsidRDefault="00F82E99" w:rsidP="00F82E99">
            <w:pPr>
              <w:jc w:val="right"/>
            </w:pPr>
            <w:r>
              <w:t>46 29</w:t>
            </w:r>
          </w:p>
        </w:tc>
      </w:tr>
      <w:tr w:rsidR="00F82E99" w:rsidTr="00F82E99">
        <w:tc>
          <w:tcPr>
            <w:tcW w:w="4219" w:type="dxa"/>
            <w:vAlign w:val="center"/>
          </w:tcPr>
          <w:p w:rsidR="00F82E99" w:rsidRDefault="00F82E99" w:rsidP="00F82E99">
            <w:pPr>
              <w:jc w:val="left"/>
            </w:pPr>
            <w:r w:rsidRPr="004A6307">
              <w:t xml:space="preserve">Ny-Dunántúli </w:t>
            </w:r>
            <w:proofErr w:type="spellStart"/>
            <w:r w:rsidRPr="004A6307">
              <w:t>Reg</w:t>
            </w:r>
            <w:proofErr w:type="gramStart"/>
            <w:r w:rsidRPr="004A6307">
              <w:t>.Nyugdíjbizt</w:t>
            </w:r>
            <w:proofErr w:type="gramEnd"/>
            <w:r w:rsidRPr="004A6307">
              <w:t>.Igazg</w:t>
            </w:r>
            <w:proofErr w:type="spellEnd"/>
            <w:r w:rsidRPr="004A6307">
              <w:t>.</w:t>
            </w:r>
          </w:p>
        </w:tc>
        <w:tc>
          <w:tcPr>
            <w:tcW w:w="3686" w:type="dxa"/>
            <w:vAlign w:val="center"/>
          </w:tcPr>
          <w:p w:rsidR="00F82E99" w:rsidRDefault="00F82E99" w:rsidP="00F82E99">
            <w:pPr>
              <w:jc w:val="left"/>
            </w:pPr>
            <w:r>
              <w:t>Baleseti járadék</w:t>
            </w:r>
          </w:p>
        </w:tc>
        <w:tc>
          <w:tcPr>
            <w:tcW w:w="1305" w:type="dxa"/>
            <w:vAlign w:val="center"/>
          </w:tcPr>
          <w:p w:rsidR="00F82E99" w:rsidRDefault="00F82E99" w:rsidP="00F82E99">
            <w:pPr>
              <w:jc w:val="right"/>
            </w:pPr>
            <w:r>
              <w:t>223</w:t>
            </w:r>
          </w:p>
        </w:tc>
      </w:tr>
      <w:tr w:rsidR="00F82E99" w:rsidTr="00F82E99">
        <w:tc>
          <w:tcPr>
            <w:tcW w:w="4219" w:type="dxa"/>
            <w:vAlign w:val="center"/>
          </w:tcPr>
          <w:p w:rsidR="00F82E99" w:rsidRDefault="00F82E99" w:rsidP="00F82E99">
            <w:pPr>
              <w:jc w:val="left"/>
            </w:pPr>
            <w:r w:rsidRPr="004A6307">
              <w:t>Földművelésügyi Minisztérium</w:t>
            </w:r>
          </w:p>
        </w:tc>
        <w:tc>
          <w:tcPr>
            <w:tcW w:w="3686" w:type="dxa"/>
            <w:vAlign w:val="center"/>
          </w:tcPr>
          <w:p w:rsidR="00F82E99" w:rsidRDefault="00F82E99" w:rsidP="00F82E99">
            <w:pPr>
              <w:jc w:val="left"/>
            </w:pPr>
            <w:r w:rsidRPr="004A6307">
              <w:t>2015. évi állatkár többletigény visszafi</w:t>
            </w:r>
            <w:r>
              <w:t>zetése</w:t>
            </w:r>
          </w:p>
        </w:tc>
        <w:tc>
          <w:tcPr>
            <w:tcW w:w="1305" w:type="dxa"/>
            <w:vAlign w:val="center"/>
          </w:tcPr>
          <w:p w:rsidR="00F82E99" w:rsidRDefault="00F82E99" w:rsidP="00F82E99">
            <w:pPr>
              <w:jc w:val="right"/>
            </w:pPr>
            <w:r>
              <w:t>14 805</w:t>
            </w:r>
          </w:p>
        </w:tc>
      </w:tr>
      <w:tr w:rsidR="00F82E99" w:rsidTr="00F82E99">
        <w:tc>
          <w:tcPr>
            <w:tcW w:w="4219" w:type="dxa"/>
            <w:vAlign w:val="center"/>
          </w:tcPr>
          <w:p w:rsidR="00F82E99" w:rsidRDefault="00F82E99" w:rsidP="00F82E99">
            <w:pPr>
              <w:jc w:val="left"/>
            </w:pPr>
            <w:proofErr w:type="spellStart"/>
            <w:r w:rsidRPr="004A6307">
              <w:t>Állatorvostudományi</w:t>
            </w:r>
            <w:proofErr w:type="spellEnd"/>
            <w:r w:rsidRPr="004A6307">
              <w:t xml:space="preserve"> Egyetem</w:t>
            </w:r>
          </w:p>
        </w:tc>
        <w:tc>
          <w:tcPr>
            <w:tcW w:w="3686" w:type="dxa"/>
            <w:vAlign w:val="center"/>
          </w:tcPr>
          <w:p w:rsidR="00F82E99" w:rsidRDefault="00F82E99" w:rsidP="00F82E99">
            <w:pPr>
              <w:jc w:val="left"/>
            </w:pPr>
            <w:r>
              <w:t>Ivartalanítási program</w:t>
            </w:r>
          </w:p>
        </w:tc>
        <w:tc>
          <w:tcPr>
            <w:tcW w:w="1305" w:type="dxa"/>
            <w:vAlign w:val="center"/>
          </w:tcPr>
          <w:p w:rsidR="00F82E99" w:rsidRDefault="00F82E99" w:rsidP="00F82E99">
            <w:pPr>
              <w:jc w:val="right"/>
            </w:pPr>
            <w:r>
              <w:t>750</w:t>
            </w:r>
          </w:p>
        </w:tc>
      </w:tr>
      <w:tr w:rsidR="00F82E99" w:rsidTr="00F82E99">
        <w:tc>
          <w:tcPr>
            <w:tcW w:w="4219" w:type="dxa"/>
            <w:vAlign w:val="center"/>
          </w:tcPr>
          <w:p w:rsidR="00F82E99" w:rsidRDefault="00F82E99" w:rsidP="00F82E99">
            <w:pPr>
              <w:jc w:val="left"/>
            </w:pPr>
            <w:r w:rsidRPr="004A6307">
              <w:t>Nemzeti Földalapkezelő Szervezet</w:t>
            </w:r>
          </w:p>
        </w:tc>
        <w:tc>
          <w:tcPr>
            <w:tcW w:w="3686" w:type="dxa"/>
            <w:vAlign w:val="center"/>
          </w:tcPr>
          <w:p w:rsidR="00F82E99" w:rsidRDefault="00F82E99" w:rsidP="00F82E99">
            <w:pPr>
              <w:jc w:val="left"/>
            </w:pPr>
            <w:r w:rsidRPr="004A6307">
              <w:t>AK kártalanítás</w:t>
            </w:r>
          </w:p>
        </w:tc>
        <w:tc>
          <w:tcPr>
            <w:tcW w:w="1305" w:type="dxa"/>
            <w:vAlign w:val="center"/>
          </w:tcPr>
          <w:p w:rsidR="00F82E99" w:rsidRDefault="00F82E99" w:rsidP="00F82E99">
            <w:pPr>
              <w:jc w:val="right"/>
            </w:pPr>
            <w:r>
              <w:t>983</w:t>
            </w:r>
          </w:p>
        </w:tc>
      </w:tr>
    </w:tbl>
    <w:p w:rsidR="00F82E99" w:rsidRDefault="00F82E99" w:rsidP="00F82E99"/>
    <w:p w:rsidR="007F19D3" w:rsidRDefault="00F82E99" w:rsidP="009316F7">
      <w:r>
        <w:t>Államháztartáson kívülre a legjelentősebb tétel a NÉBIH tulajdonosi joggyakorlása alatt működő ÉLBC Kft. számára a közösen ellátott feladatok érdekében együttműködési megállapodások alapján biztosított forrás</w:t>
      </w:r>
      <w:r w:rsidR="00DD37F4">
        <w:t xml:space="preserve"> </w:t>
      </w:r>
      <w:r w:rsidR="00DD37F4" w:rsidRPr="00DD37F4">
        <w:t>1</w:t>
      </w:r>
      <w:r w:rsidR="00DD37F4">
        <w:t>.</w:t>
      </w:r>
      <w:r w:rsidR="00DD37F4" w:rsidRPr="00DD37F4">
        <w:t>412</w:t>
      </w:r>
      <w:r w:rsidR="00DD37F4">
        <w:t xml:space="preserve">.844 </w:t>
      </w:r>
      <w:r w:rsidR="009921EE">
        <w:t xml:space="preserve">ezer Ft. 2015-höz képest a feladatok jelentős bővülése miatt (pl. FELIR és kapcsolódó szakrendszerek üzemeltetése, közétkeztetés ellenőrzése) </w:t>
      </w:r>
      <w:r w:rsidR="00893B25">
        <w:t xml:space="preserve">ez 68%-os növekedést jelent. </w:t>
      </w:r>
      <w:r>
        <w:t>A háztartásoknak átadott pénzeszközök összegéből az aranykorona kártérítés 10</w:t>
      </w:r>
      <w:r w:rsidR="00DD37F4">
        <w:t>.</w:t>
      </w:r>
      <w:r>
        <w:t>703</w:t>
      </w:r>
      <w:r w:rsidR="00893B25">
        <w:t xml:space="preserve"> ezer</w:t>
      </w:r>
      <w:r w:rsidRPr="00545F46">
        <w:t xml:space="preserve"> Ft</w:t>
      </w:r>
      <w:r>
        <w:t>. A madárinfluenza járvány miatt határozatokra</w:t>
      </w:r>
      <w:r w:rsidR="00893B25">
        <w:t xml:space="preserve"> és megyei költségekre lebonyolító szervként</w:t>
      </w:r>
      <w:r>
        <w:t xml:space="preserve"> </w:t>
      </w:r>
      <w:r w:rsidR="00893B25">
        <w:t xml:space="preserve">decemberben </w:t>
      </w:r>
      <w:r>
        <w:t xml:space="preserve">kifizetett </w:t>
      </w:r>
      <w:r w:rsidR="00893B25">
        <w:t>összeg 1.185.032 e</w:t>
      </w:r>
      <w:r w:rsidR="007F19D3">
        <w:t xml:space="preserve">zer </w:t>
      </w:r>
      <w:r w:rsidR="00893B25">
        <w:t xml:space="preserve">Ft. A </w:t>
      </w:r>
      <w:proofErr w:type="gramStart"/>
      <w:r w:rsidR="00893B25">
        <w:t>költségvetési</w:t>
      </w:r>
      <w:proofErr w:type="gramEnd"/>
      <w:r w:rsidR="00893B25">
        <w:t xml:space="preserve"> számvitel előírásai miatt ezt az összeget 2016. december 31-én kiadásként kell nyilvántartanunk; megtérítése a felülről nyitott előirányzat</w:t>
      </w:r>
      <w:r w:rsidR="00AD047E">
        <w:t xml:space="preserve"> hosszas igénylési eljárása miatt</w:t>
      </w:r>
      <w:r w:rsidR="00893B25">
        <w:t xml:space="preserve"> a fejezeti „ Állat- </w:t>
      </w:r>
      <w:r w:rsidR="00AD047E">
        <w:t>, növény és GMO kártalanítás” soráról már csak 2017-ben történt meg.</w:t>
      </w:r>
      <w:r w:rsidR="00893B25">
        <w:t xml:space="preserve"> </w:t>
      </w:r>
      <w:r w:rsidR="009316F7">
        <w:t xml:space="preserve"> </w:t>
      </w:r>
    </w:p>
    <w:p w:rsidR="00DE18A2" w:rsidRPr="00AD047E" w:rsidRDefault="00FC60E6" w:rsidP="00DE18A2">
      <w:r>
        <w:t>A</w:t>
      </w:r>
      <w:r w:rsidR="00AD047E" w:rsidRPr="00AD047E">
        <w:t xml:space="preserve"> </w:t>
      </w:r>
      <w:r w:rsidR="00AD047E" w:rsidRPr="00977F67">
        <w:rPr>
          <w:b/>
        </w:rPr>
        <w:t>f</w:t>
      </w:r>
      <w:r w:rsidR="00F82E99" w:rsidRPr="00977F67">
        <w:rPr>
          <w:b/>
        </w:rPr>
        <w:t>elhalmozás</w:t>
      </w:r>
      <w:r w:rsidR="00AD047E" w:rsidRPr="00977F67">
        <w:rPr>
          <w:b/>
        </w:rPr>
        <w:t>i kiadásokat</w:t>
      </w:r>
      <w:r w:rsidR="00AD047E">
        <w:t xml:space="preserve"> a következő táblázat foglalja össze:</w:t>
      </w:r>
    </w:p>
    <w:p w:rsidR="00DE18A2" w:rsidRDefault="00DE18A2" w:rsidP="00DE18A2"/>
    <w:tbl>
      <w:tblPr>
        <w:tblW w:w="8096" w:type="dxa"/>
        <w:jc w:val="center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4"/>
        <w:gridCol w:w="1251"/>
        <w:gridCol w:w="1276"/>
        <w:gridCol w:w="1275"/>
      </w:tblGrid>
      <w:tr w:rsidR="00DE18A2" w:rsidRPr="00C40843" w:rsidTr="00DE18A2">
        <w:trPr>
          <w:trHeight w:val="255"/>
          <w:jc w:val="center"/>
        </w:trPr>
        <w:tc>
          <w:tcPr>
            <w:tcW w:w="8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8A2" w:rsidRPr="00C40843" w:rsidRDefault="00DE18A2" w:rsidP="00DE18A2">
            <w:pPr>
              <w:jc w:val="center"/>
              <w:rPr>
                <w:color w:val="000000"/>
                <w:u w:val="single"/>
              </w:rPr>
            </w:pPr>
            <w:r w:rsidRPr="00C40843">
              <w:rPr>
                <w:color w:val="000000"/>
                <w:sz w:val="22"/>
                <w:szCs w:val="22"/>
                <w:u w:val="single"/>
              </w:rPr>
              <w:t>201</w:t>
            </w:r>
            <w:r>
              <w:rPr>
                <w:color w:val="000000"/>
                <w:sz w:val="22"/>
                <w:szCs w:val="22"/>
                <w:u w:val="single"/>
              </w:rPr>
              <w:t>6</w:t>
            </w:r>
            <w:r w:rsidRPr="00C40843">
              <w:rPr>
                <w:color w:val="000000"/>
                <w:sz w:val="22"/>
                <w:szCs w:val="22"/>
                <w:u w:val="single"/>
              </w:rPr>
              <w:t>. évi felhalmozási kiadások előirányzat-teljesítés</w:t>
            </w:r>
          </w:p>
          <w:p w:rsidR="00DE18A2" w:rsidRPr="00C40843" w:rsidRDefault="00DE18A2" w:rsidP="00DE18A2">
            <w:pPr>
              <w:jc w:val="center"/>
              <w:rPr>
                <w:color w:val="000000"/>
                <w:u w:val="single"/>
              </w:rPr>
            </w:pP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8A2" w:rsidRPr="00C40843" w:rsidRDefault="00DE18A2" w:rsidP="00DE18A2">
            <w:pPr>
              <w:rPr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8A2" w:rsidRPr="00C40843" w:rsidRDefault="00DE18A2" w:rsidP="00DE18A2">
            <w:pPr>
              <w:rPr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8A2" w:rsidRPr="00C40843" w:rsidRDefault="00DE18A2" w:rsidP="00DE18A2">
            <w:pPr>
              <w:jc w:val="center"/>
              <w:rPr>
                <w:i/>
                <w:iCs/>
                <w:color w:val="000000"/>
              </w:rPr>
            </w:pPr>
            <w:r w:rsidRPr="00C40843">
              <w:rPr>
                <w:i/>
                <w:iCs/>
                <w:color w:val="000000"/>
                <w:sz w:val="22"/>
                <w:szCs w:val="22"/>
              </w:rPr>
              <w:t>adatok ezer Ft-ban</w:t>
            </w:r>
          </w:p>
        </w:tc>
      </w:tr>
      <w:tr w:rsidR="00DE18A2" w:rsidRPr="00C40843" w:rsidTr="00DE18A2">
        <w:trPr>
          <w:trHeight w:val="510"/>
          <w:jc w:val="center"/>
        </w:trPr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center"/>
            </w:pPr>
            <w:r w:rsidRPr="009316F7">
              <w:t>Megnevezés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center"/>
            </w:pPr>
            <w:r w:rsidRPr="009316F7">
              <w:t xml:space="preserve">Eredeti </w:t>
            </w:r>
            <w:r w:rsidRPr="009316F7">
              <w:br/>
              <w:t>előirányzat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center"/>
            </w:pPr>
            <w:r w:rsidRPr="009316F7">
              <w:t>Módosított</w:t>
            </w:r>
            <w:r w:rsidRPr="009316F7">
              <w:br/>
              <w:t xml:space="preserve">előirányzat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center"/>
            </w:pPr>
            <w:r w:rsidRPr="009316F7">
              <w:t>Teljesítés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 xml:space="preserve">K61 - Immateriális javak </w:t>
            </w:r>
            <w:proofErr w:type="spellStart"/>
            <w:r w:rsidRPr="009316F7">
              <w:t>beszerz.létesít</w:t>
            </w:r>
            <w:proofErr w:type="spellEnd"/>
            <w:r w:rsidRPr="009316F7">
              <w:t>.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440 000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435 908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334 892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>K62 - Ingatlanok beszerzése, létesítése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4 914 200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417 800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381 957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 xml:space="preserve">K63 - </w:t>
            </w:r>
            <w:proofErr w:type="spellStart"/>
            <w:r w:rsidRPr="009316F7">
              <w:t>Inform.eszk.beszerz.létesítése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650 000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117 239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101 212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 xml:space="preserve">K64 - Egyéb tárgyi </w:t>
            </w:r>
            <w:proofErr w:type="spellStart"/>
            <w:r w:rsidRPr="009316F7">
              <w:t>eszk.beszerz.létesít</w:t>
            </w:r>
            <w:proofErr w:type="spellEnd"/>
            <w:r w:rsidRPr="009316F7"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677 941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550 679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 xml:space="preserve">K67 - </w:t>
            </w:r>
            <w:proofErr w:type="spellStart"/>
            <w:r w:rsidRPr="009316F7">
              <w:t>Beruh.c.előz</w:t>
            </w:r>
            <w:proofErr w:type="gramStart"/>
            <w:r w:rsidRPr="009316F7">
              <w:t>.felsz</w:t>
            </w:r>
            <w:proofErr w:type="gramEnd"/>
            <w:r w:rsidRPr="009316F7">
              <w:t>.ált.forg.adó</w:t>
            </w:r>
            <w:proofErr w:type="spellEnd"/>
            <w:r w:rsidRPr="009316F7"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350 000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385 108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272 893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DE18A2" w:rsidRPr="009316F7" w:rsidRDefault="00DE18A2" w:rsidP="00DE18A2">
            <w:pPr>
              <w:rPr>
                <w:b/>
                <w:bCs/>
              </w:rPr>
            </w:pPr>
            <w:r w:rsidRPr="009316F7">
              <w:rPr>
                <w:b/>
                <w:bCs/>
              </w:rPr>
              <w:t>K6 - Beruházások összesen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6 514 200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2 033 995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1 641 633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>K71 - Ingatlanok felújítása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552 000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164 742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150 163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>K72 - Informatikai eszközök felújítása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2 889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2 889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>K73 - Egyéb tárgyi eszközök felújítása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1 917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1 447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 xml:space="preserve">K74 - </w:t>
            </w:r>
            <w:proofErr w:type="spellStart"/>
            <w:r w:rsidRPr="009316F7">
              <w:t>Felúj</w:t>
            </w:r>
            <w:proofErr w:type="gramStart"/>
            <w:r w:rsidRPr="009316F7">
              <w:t>.c.el</w:t>
            </w:r>
            <w:proofErr w:type="gramEnd"/>
            <w:r w:rsidRPr="009316F7">
              <w:t>őz.felsz.ált.forg.adó</w:t>
            </w:r>
            <w:proofErr w:type="spellEnd"/>
            <w:r w:rsidRPr="009316F7"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193 000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47 403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41 670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DE18A2" w:rsidRPr="009316F7" w:rsidRDefault="00DE18A2" w:rsidP="00DE18A2">
            <w:pPr>
              <w:rPr>
                <w:b/>
                <w:bCs/>
              </w:rPr>
            </w:pPr>
            <w:r w:rsidRPr="009316F7">
              <w:rPr>
                <w:b/>
                <w:bCs/>
              </w:rPr>
              <w:t>K7 - Felújítások összesen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750 000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216 950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196 169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A2" w:rsidRPr="009316F7" w:rsidRDefault="00DE18A2" w:rsidP="00DE18A2">
            <w:r w:rsidRPr="009316F7">
              <w:t>K86</w:t>
            </w:r>
            <w:r w:rsidR="009316F7">
              <w:t xml:space="preserve">03 - </w:t>
            </w:r>
            <w:proofErr w:type="spellStart"/>
            <w:r w:rsidR="009316F7">
              <w:t>Felh.c.vt.tám</w:t>
            </w:r>
            <w:proofErr w:type="gramStart"/>
            <w:r w:rsidR="009316F7">
              <w:t>.kölcs</w:t>
            </w:r>
            <w:proofErr w:type="gramEnd"/>
            <w:r w:rsidR="009316F7">
              <w:t>.nyújt.h</w:t>
            </w:r>
            <w:r w:rsidRPr="009316F7">
              <w:t>áztart</w:t>
            </w:r>
            <w:proofErr w:type="spellEnd"/>
            <w:r w:rsidRPr="009316F7"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87 400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</w:pPr>
            <w:r w:rsidRPr="009316F7">
              <w:t>77 400</w:t>
            </w:r>
          </w:p>
        </w:tc>
      </w:tr>
      <w:tr w:rsidR="00DE18A2" w:rsidRPr="00C40843" w:rsidTr="00DE18A2">
        <w:trPr>
          <w:trHeight w:val="255"/>
          <w:jc w:val="center"/>
        </w:trPr>
        <w:tc>
          <w:tcPr>
            <w:tcW w:w="4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A2" w:rsidRPr="009316F7" w:rsidRDefault="00DE18A2" w:rsidP="00DE18A2">
            <w:pPr>
              <w:rPr>
                <w:b/>
                <w:bCs/>
              </w:rPr>
            </w:pPr>
            <w:r w:rsidRPr="009316F7">
              <w:rPr>
                <w:b/>
                <w:bCs/>
              </w:rPr>
              <w:t xml:space="preserve">K8 - Egyéb </w:t>
            </w:r>
            <w:proofErr w:type="spellStart"/>
            <w:r w:rsidRPr="009316F7">
              <w:rPr>
                <w:b/>
                <w:bCs/>
              </w:rPr>
              <w:t>felh.c.kiad</w:t>
            </w:r>
            <w:proofErr w:type="gramStart"/>
            <w:r w:rsidRPr="009316F7">
              <w:rPr>
                <w:b/>
                <w:bCs/>
              </w:rPr>
              <w:t>.összesen</w:t>
            </w:r>
            <w:proofErr w:type="spellEnd"/>
            <w:proofErr w:type="gram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87 400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9316F7" w:rsidRDefault="00DE18A2" w:rsidP="00DE18A2">
            <w:pPr>
              <w:jc w:val="right"/>
              <w:rPr>
                <w:b/>
                <w:bCs/>
              </w:rPr>
            </w:pPr>
            <w:r w:rsidRPr="009316F7">
              <w:rPr>
                <w:b/>
                <w:bCs/>
              </w:rPr>
              <w:t>77 400</w:t>
            </w:r>
          </w:p>
        </w:tc>
      </w:tr>
    </w:tbl>
    <w:p w:rsidR="00DE18A2" w:rsidRDefault="00DE18A2" w:rsidP="00DE18A2"/>
    <w:p w:rsidR="00DE18A2" w:rsidRDefault="00DE18A2" w:rsidP="00DE18A2">
      <w:r>
        <w:t xml:space="preserve">A felhalmozási kiadásokat tételesen a melléklet </w:t>
      </w:r>
      <w:r w:rsidRPr="00DD77AC">
        <w:rPr>
          <w:i/>
        </w:rPr>
        <w:t>D és E jelű táblája</w:t>
      </w:r>
      <w:r>
        <w:t xml:space="preserve"> tartalmazza.</w:t>
      </w:r>
      <w:r w:rsidR="00977F67">
        <w:t xml:space="preserve"> A felhalmozási kiadások 2015-höz képest 18%-kal csökkentek, ez azonban nem azt jelenti, hogy a Hivatal ne kezelné stratégia fontosságúnak a folyamatos fejlesztést, fejlődést. Az eltérés indoka főként, hogy a közbeszerzési eljárások előkészítésnek, engedélyeztetésének és </w:t>
      </w:r>
      <w:r w:rsidR="00977F67">
        <w:lastRenderedPageBreak/>
        <w:t xml:space="preserve">lefolytatásának hossza miatt a beruházások megvalósítása és pénzügyi teljesítése az egyes költségvetési évek között sokszor áthúzódik.  </w:t>
      </w:r>
    </w:p>
    <w:p w:rsidR="00E735C8" w:rsidRDefault="00E735C8" w:rsidP="00DE18A2"/>
    <w:p w:rsidR="00E735C8" w:rsidRPr="00CF4DE1" w:rsidRDefault="00E735C8" w:rsidP="00E735C8">
      <w:r>
        <w:t xml:space="preserve">A felhalmozási kiadások forrása idén is elsősorban az élelmiszerlánc-felügyeleti díj bevétel volt. A befolyt felügyeleti díj 10%-t a </w:t>
      </w:r>
      <w:proofErr w:type="spellStart"/>
      <w:r>
        <w:t>NÉBIH-nek</w:t>
      </w:r>
      <w:proofErr w:type="spellEnd"/>
      <w:r>
        <w:t xml:space="preserve"> kötelező fejlesztésre fordítania. </w:t>
      </w:r>
      <w:r w:rsidRPr="00CF4DE1">
        <w:t>A felügyeleti díj lehetőséget biztosított az élelmiszerlánc-biztonsági feladatok ellátásához kapcsolódó 1.</w:t>
      </w:r>
      <w:r>
        <w:t>313,8</w:t>
      </w:r>
      <w:r w:rsidRPr="00CF4DE1">
        <w:t xml:space="preserve"> millió Ft összegű fejlesztés megvalósítására. A</w:t>
      </w:r>
      <w:r>
        <w:t xml:space="preserve"> felügyeleti </w:t>
      </w:r>
      <w:proofErr w:type="gramStart"/>
      <w:r>
        <w:t>díj</w:t>
      </w:r>
      <w:r w:rsidRPr="00CF4DE1">
        <w:t xml:space="preserve"> </w:t>
      </w:r>
      <w:r>
        <w:t>forrásból</w:t>
      </w:r>
      <w:proofErr w:type="gramEnd"/>
      <w:r>
        <w:t xml:space="preserve"> </w:t>
      </w:r>
      <w:r w:rsidRPr="00CF4DE1">
        <w:t>meg</w:t>
      </w:r>
      <w:r>
        <w:t>valósított fejlesztések aránya némileg</w:t>
      </w:r>
      <w:r w:rsidRPr="00CF4DE1">
        <w:t xml:space="preserve"> meg</w:t>
      </w:r>
      <w:r>
        <w:t xml:space="preserve"> is </w:t>
      </w:r>
      <w:r w:rsidRPr="00CF4DE1">
        <w:t>haladja az Éltv.-ben előírt 10%-ot</w:t>
      </w:r>
      <w:r>
        <w:t xml:space="preserve">, de szakmailag jóval több beruházást, eszközbeszerzést készítettünk elő, amelyek – főleg a közbeszerzési és egyéb engedélyezetési eljárások hossza miatt – pénzügyileg majd a 2017-ben teljesül. </w:t>
      </w:r>
    </w:p>
    <w:p w:rsidR="00E735C8" w:rsidRPr="00CF4DE1" w:rsidRDefault="00E735C8" w:rsidP="00E735C8">
      <w:pPr>
        <w:spacing w:before="120"/>
      </w:pPr>
      <w:r>
        <w:t>2016</w:t>
      </w:r>
      <w:r w:rsidRPr="00CF4DE1">
        <w:t>-b</w:t>
      </w:r>
      <w:r>
        <w:t>a</w:t>
      </w:r>
      <w:r w:rsidRPr="00CF4DE1">
        <w:t xml:space="preserve">n </w:t>
      </w:r>
      <w:r>
        <w:t>a NÉBIH közel hasonló arányban költött a felügyeleti díjból műszer- és eszközbeszerzésre, a szakrendszerekkel kapcsolatos informatikai szoftver és hardver beszerzésre, valamint az ingatlanok korszerűsítésére.</w:t>
      </w:r>
      <w:r w:rsidRPr="00CF4DE1">
        <w:t xml:space="preserve"> </w:t>
      </w:r>
    </w:p>
    <w:p w:rsidR="00E735C8" w:rsidRDefault="00E735C8" w:rsidP="00E735C8">
      <w:pPr>
        <w:spacing w:before="120"/>
      </w:pPr>
      <w:r>
        <w:t>Laboratóriumi vizsgálati és egyéb műszerek, gépek, berendezések beszerzésére és felújítására nagyságrendileg összesen 500 millió Ft-ot fordítottunk, amely mintegy 350 db kisebb-nagyobb beszerzésből áll össze. Ezek közül kiemelendőek a legjelentősebbek:</w:t>
      </w:r>
    </w:p>
    <w:p w:rsidR="00E735C8" w:rsidRDefault="00E735C8" w:rsidP="00E735C8">
      <w:pPr>
        <w:numPr>
          <w:ilvl w:val="0"/>
          <w:numId w:val="19"/>
        </w:numPr>
        <w:spacing w:before="120" w:after="200"/>
      </w:pPr>
      <w:r>
        <w:t xml:space="preserve">borászati szakterületen: FTIR </w:t>
      </w:r>
      <w:proofErr w:type="spellStart"/>
      <w:r>
        <w:t>boranalizátor</w:t>
      </w:r>
      <w:proofErr w:type="spellEnd"/>
      <w:r>
        <w:t xml:space="preserve">; </w:t>
      </w:r>
      <w:r w:rsidRPr="00411746">
        <w:t>DAD</w:t>
      </w:r>
      <w:proofErr w:type="gramStart"/>
      <w:r w:rsidRPr="00411746">
        <w:t>,FLD</w:t>
      </w:r>
      <w:proofErr w:type="gramEnd"/>
      <w:r w:rsidRPr="00411746">
        <w:t xml:space="preserve"> detektorok</w:t>
      </w:r>
      <w:r w:rsidR="009F565E">
        <w:t>,</w:t>
      </w:r>
      <w:r>
        <w:t xml:space="preserve">                                   </w:t>
      </w:r>
      <w:proofErr w:type="spellStart"/>
      <w:r>
        <w:t>autosampler</w:t>
      </w:r>
      <w:proofErr w:type="spellEnd"/>
      <w:r>
        <w:t>;</w:t>
      </w:r>
    </w:p>
    <w:p w:rsidR="00E735C8" w:rsidRDefault="00E735C8" w:rsidP="00E735C8">
      <w:pPr>
        <w:numPr>
          <w:ilvl w:val="0"/>
          <w:numId w:val="19"/>
        </w:numPr>
        <w:spacing w:before="120" w:after="200"/>
      </w:pPr>
      <w:r>
        <w:t xml:space="preserve">élelmiszer- és takarmánybiztonsági szakterületen: </w:t>
      </w:r>
      <w:proofErr w:type="spellStart"/>
      <w:r>
        <w:t>zsíranalizátor</w:t>
      </w:r>
      <w:proofErr w:type="spellEnd"/>
      <w:r>
        <w:t xml:space="preserve">, </w:t>
      </w:r>
      <w:proofErr w:type="spellStart"/>
      <w:r>
        <w:t>fehérjenalizátor</w:t>
      </w:r>
      <w:proofErr w:type="spellEnd"/>
      <w:r>
        <w:t xml:space="preserve">, </w:t>
      </w:r>
      <w:proofErr w:type="spellStart"/>
      <w:r w:rsidRPr="00A211F1">
        <w:t>Kjeldahl</w:t>
      </w:r>
      <w:proofErr w:type="spellEnd"/>
      <w:r w:rsidRPr="00A211F1">
        <w:t xml:space="preserve"> autom</w:t>
      </w:r>
      <w:r>
        <w:t>ata a</w:t>
      </w:r>
      <w:r w:rsidRPr="00A211F1">
        <w:t>nalizátor</w:t>
      </w:r>
      <w:r>
        <w:t xml:space="preserve">, </w:t>
      </w:r>
      <w:proofErr w:type="spellStart"/>
      <w:r>
        <w:t>s</w:t>
      </w:r>
      <w:r w:rsidRPr="00A211F1">
        <w:t>zcinttillációs</w:t>
      </w:r>
      <w:proofErr w:type="spellEnd"/>
      <w:r w:rsidRPr="00A211F1">
        <w:t xml:space="preserve"> mérőműszer vezérlőegység</w:t>
      </w:r>
      <w:r>
        <w:t>, lantán-bromid d</w:t>
      </w:r>
      <w:r w:rsidRPr="00A211F1">
        <w:t>etektor</w:t>
      </w:r>
      <w:r>
        <w:t>; a</w:t>
      </w:r>
      <w:r w:rsidRPr="00A211F1">
        <w:t>utomata sorozat hígító</w:t>
      </w:r>
      <w:r>
        <w:t xml:space="preserve">; </w:t>
      </w:r>
      <w:proofErr w:type="spellStart"/>
      <w:r w:rsidRPr="00003767">
        <w:t>Interscience</w:t>
      </w:r>
      <w:proofErr w:type="spellEnd"/>
      <w:r w:rsidRPr="00003767">
        <w:t xml:space="preserve"> </w:t>
      </w:r>
      <w:proofErr w:type="spellStart"/>
      <w:r w:rsidRPr="00003767">
        <w:t>EasySpiral</w:t>
      </w:r>
      <w:proofErr w:type="spellEnd"/>
      <w:r w:rsidRPr="00003767">
        <w:t xml:space="preserve"> </w:t>
      </w:r>
      <w:proofErr w:type="spellStart"/>
      <w:r w:rsidRPr="00003767">
        <w:t>Dilute</w:t>
      </w:r>
      <w:proofErr w:type="spellEnd"/>
      <w:r>
        <w:t>; i</w:t>
      </w:r>
      <w:r w:rsidRPr="00003767">
        <w:t>ntegrált önálló digitális spektrum anal</w:t>
      </w:r>
      <w:r>
        <w:t>izátor;</w:t>
      </w:r>
    </w:p>
    <w:p w:rsidR="00E735C8" w:rsidRDefault="00E735C8" w:rsidP="00E735C8">
      <w:pPr>
        <w:numPr>
          <w:ilvl w:val="0"/>
          <w:numId w:val="19"/>
        </w:numPr>
        <w:spacing w:before="120" w:after="200"/>
      </w:pPr>
      <w:r>
        <w:t xml:space="preserve">állategészségügyi diagnosztikai szakterületen: különböző típusú </w:t>
      </w:r>
      <w:proofErr w:type="spellStart"/>
      <w:r>
        <w:t>PCR-ok</w:t>
      </w:r>
      <w:proofErr w:type="spellEnd"/>
      <w:r>
        <w:t xml:space="preserve"> és platformok; </w:t>
      </w:r>
      <w:r w:rsidRPr="002C5675">
        <w:t>labormikroszkóp digitális kameráva</w:t>
      </w:r>
      <w:r>
        <w:t xml:space="preserve">l; </w:t>
      </w:r>
      <w:r w:rsidRPr="00F856FD">
        <w:t>CO2 inkubáto</w:t>
      </w:r>
      <w:r>
        <w:t>r;</w:t>
      </w:r>
    </w:p>
    <w:p w:rsidR="00E735C8" w:rsidRDefault="00E735C8" w:rsidP="00E735C8">
      <w:pPr>
        <w:numPr>
          <w:ilvl w:val="0"/>
          <w:numId w:val="19"/>
        </w:numPr>
        <w:spacing w:before="120" w:after="200"/>
      </w:pPr>
      <w:r>
        <w:t>növény- és talajvédelmi szakterületen: a</w:t>
      </w:r>
      <w:r w:rsidRPr="00F856FD">
        <w:t xml:space="preserve">sztali </w:t>
      </w:r>
      <w:proofErr w:type="spellStart"/>
      <w:r w:rsidRPr="00F856FD">
        <w:t>fotometriális</w:t>
      </w:r>
      <w:proofErr w:type="spellEnd"/>
      <w:r w:rsidRPr="00F856FD">
        <w:t xml:space="preserve"> analizátor</w:t>
      </w:r>
      <w:r>
        <w:t xml:space="preserve">; </w:t>
      </w:r>
      <w:r w:rsidRPr="00F856FD">
        <w:t>automata nitrogén analizátor</w:t>
      </w:r>
      <w:r>
        <w:t xml:space="preserve">; </w:t>
      </w:r>
      <w:proofErr w:type="spellStart"/>
      <w:r w:rsidRPr="00F856FD">
        <w:t>Nicolet</w:t>
      </w:r>
      <w:proofErr w:type="spellEnd"/>
      <w:r w:rsidRPr="00F856FD">
        <w:t xml:space="preserve"> iS10FT-IR </w:t>
      </w:r>
      <w:proofErr w:type="spellStart"/>
      <w:r w:rsidRPr="00F856FD">
        <w:t>spektrometer</w:t>
      </w:r>
      <w:proofErr w:type="spellEnd"/>
      <w:r w:rsidR="00882E07">
        <w:t>,</w:t>
      </w:r>
      <w:r>
        <w:t xml:space="preserve"> </w:t>
      </w:r>
      <w:proofErr w:type="spellStart"/>
      <w:r>
        <w:t>u</w:t>
      </w:r>
      <w:r w:rsidRPr="00F856FD">
        <w:t>ltracentrifugális</w:t>
      </w:r>
      <w:proofErr w:type="spellEnd"/>
      <w:r w:rsidRPr="00F856FD">
        <w:t xml:space="preserve"> malom</w:t>
      </w:r>
      <w:r w:rsidR="00882E07">
        <w:t>,</w:t>
      </w:r>
      <w:r>
        <w:t xml:space="preserve"> mélyhűtő berendezés;</w:t>
      </w:r>
    </w:p>
    <w:p w:rsidR="00E735C8" w:rsidRDefault="00E735C8" w:rsidP="00E735C8">
      <w:pPr>
        <w:numPr>
          <w:ilvl w:val="0"/>
          <w:numId w:val="19"/>
        </w:numPr>
        <w:spacing w:before="120" w:after="200"/>
      </w:pPr>
      <w:r>
        <w:t>állattenyésztési szakterület: PCR;</w:t>
      </w:r>
    </w:p>
    <w:p w:rsidR="00E735C8" w:rsidRDefault="00E735C8" w:rsidP="00E735C8">
      <w:pPr>
        <w:numPr>
          <w:ilvl w:val="0"/>
          <w:numId w:val="19"/>
        </w:numPr>
        <w:spacing w:before="120" w:after="200"/>
      </w:pPr>
      <w:r>
        <w:t>állatgyógyászati szakterület: különböző mélyfagyasztók, mélyhűtők.</w:t>
      </w:r>
    </w:p>
    <w:p w:rsidR="00E735C8" w:rsidRDefault="00E735C8" w:rsidP="00E735C8">
      <w:pPr>
        <w:spacing w:before="120"/>
      </w:pPr>
      <w:r>
        <w:t>Válsághelyzetekben, illetve a laboratóriumi vizsgálatok biztonságához szükséges a szünetmentes tápegységek folyamatos létesítése, cseréje, k</w:t>
      </w:r>
      <w:r w:rsidR="00882E07">
        <w:t>orszerűsítése</w:t>
      </w:r>
      <w:r>
        <w:t xml:space="preserve">. </w:t>
      </w:r>
    </w:p>
    <w:p w:rsidR="00E735C8" w:rsidRPr="00CF4DE1" w:rsidRDefault="00E735C8" w:rsidP="00E735C8">
      <w:pPr>
        <w:spacing w:before="120"/>
      </w:pPr>
      <w:r w:rsidRPr="00CF4DE1">
        <w:t>Az informatikai rendszerfejlesztések (immateriális javak beszerzése, létesítése) elsősorban</w:t>
      </w:r>
      <w:r>
        <w:t xml:space="preserve"> az élelmiszerlánc felügyeleti információs rendszerhez kapcsolódó szak</w:t>
      </w:r>
      <w:r w:rsidRPr="00CF4DE1">
        <w:t>rendszer</w:t>
      </w:r>
      <w:r>
        <w:t>ek</w:t>
      </w:r>
      <w:r w:rsidRPr="00CF4DE1">
        <w:t xml:space="preserve"> elemeinek, moduljainak folyamatos </w:t>
      </w:r>
      <w:r>
        <w:t>továbbfejlesztéséhez kapcsolódott</w:t>
      </w:r>
      <w:r w:rsidRPr="00CF4DE1">
        <w:t>, pl.</w:t>
      </w:r>
      <w:r>
        <w:t xml:space="preserve"> az őstermelői és családi gazdálkodó nyilvántartó rendszer, az e</w:t>
      </w:r>
      <w:r w:rsidRPr="00AB1590">
        <w:t xml:space="preserve">lektronikus </w:t>
      </w:r>
      <w:r>
        <w:t>ütemezési és ellenőrzési r</w:t>
      </w:r>
      <w:r w:rsidRPr="00AB1590">
        <w:t>endszer</w:t>
      </w:r>
      <w:r>
        <w:t>, az elektronikus nyilvántartási r</w:t>
      </w:r>
      <w:r w:rsidRPr="00492871">
        <w:t>endszere</w:t>
      </w:r>
      <w:r>
        <w:t xml:space="preserve">, az OÁIR, az ENAR, az ALI, az AIR, a </w:t>
      </w:r>
      <w:proofErr w:type="gramStart"/>
      <w:r>
        <w:t>partner-objektum nyilvántartás</w:t>
      </w:r>
      <w:proofErr w:type="gramEnd"/>
      <w:r>
        <w:t xml:space="preserve"> és a felügyeleti díj bevallás</w:t>
      </w:r>
      <w:r w:rsidRPr="00CF4DE1">
        <w:t xml:space="preserve">. </w:t>
      </w:r>
    </w:p>
    <w:p w:rsidR="00E735C8" w:rsidRDefault="00E735C8" w:rsidP="00E735C8">
      <w:pPr>
        <w:spacing w:before="120"/>
      </w:pPr>
      <w:r w:rsidRPr="00CF4DE1">
        <w:t xml:space="preserve">Az </w:t>
      </w:r>
      <w:r>
        <w:t>informatikai eszközbeszerzések terén a legnagyobb hányadot a 2015-ben indult</w:t>
      </w:r>
      <w:r w:rsidRPr="00CF4DE1">
        <w:t xml:space="preserve"> </w:t>
      </w:r>
      <w:r>
        <w:t xml:space="preserve">ún. </w:t>
      </w:r>
      <w:r w:rsidRPr="00CF4DE1">
        <w:t>Informatikai Biztonsági Fejlesztési Projekt (IBFP)</w:t>
      </w:r>
      <w:r>
        <w:t xml:space="preserve"> lezárása tette ki</w:t>
      </w:r>
      <w:r w:rsidRPr="00CF4DE1">
        <w:t>.</w:t>
      </w:r>
    </w:p>
    <w:p w:rsidR="00E735C8" w:rsidRDefault="00E735C8" w:rsidP="00E735C8">
      <w:pPr>
        <w:spacing w:before="120"/>
      </w:pPr>
      <w:r w:rsidRPr="00CF4DE1">
        <w:t>A legjelentősebb ingatlan-beruházás a NÉBIH zamárdi oktatási központ</w:t>
      </w:r>
      <w:r>
        <w:t>jának átalakítása, amelynek 2017-e</w:t>
      </w:r>
      <w:r w:rsidRPr="00CF4DE1">
        <w:t xml:space="preserve">s befejezését követően az épület teljes mértékben alkalmas lesz </w:t>
      </w:r>
      <w:r w:rsidRPr="00CF4DE1">
        <w:lastRenderedPageBreak/>
        <w:t>élelmiszerlánc-biztonsági konferenciák, oktatások korszerű meg</w:t>
      </w:r>
      <w:r>
        <w:t xml:space="preserve">szervezésére és lebonyolítására a tudáscentrum feladatokkal összhangban. 2016-ban az épület átalakítása és a gépészeti kiadások összesen </w:t>
      </w:r>
      <w:proofErr w:type="spellStart"/>
      <w:r>
        <w:t>br</w:t>
      </w:r>
      <w:proofErr w:type="spellEnd"/>
      <w:r>
        <w:t xml:space="preserve">. 278,6 </w:t>
      </w:r>
      <w:proofErr w:type="spellStart"/>
      <w:r>
        <w:t>mFt-ot</w:t>
      </w:r>
      <w:proofErr w:type="spellEnd"/>
      <w:r>
        <w:t xml:space="preserve"> tettek ki). </w:t>
      </w:r>
      <w:r w:rsidRPr="00CF4DE1">
        <w:t xml:space="preserve"> </w:t>
      </w:r>
      <w:r>
        <w:t xml:space="preserve">Az </w:t>
      </w:r>
      <w:proofErr w:type="gramStart"/>
      <w:r>
        <w:t>akkreditációs  és</w:t>
      </w:r>
      <w:proofErr w:type="gramEnd"/>
      <w:r>
        <w:t xml:space="preserve"> a biztonságos munkavégzési követelmények miatt több laboratóriumi helyiség felújítására is sor került (összesen </w:t>
      </w:r>
      <w:proofErr w:type="spellStart"/>
      <w:r>
        <w:t>br</w:t>
      </w:r>
      <w:proofErr w:type="spellEnd"/>
      <w:r>
        <w:t xml:space="preserve">. 68,1 </w:t>
      </w:r>
      <w:proofErr w:type="spellStart"/>
      <w:r>
        <w:t>mFt</w:t>
      </w:r>
      <w:proofErr w:type="spellEnd"/>
      <w:r>
        <w:t xml:space="preserve">). A debreceni ÁDI laboratórium szennyvízkezelő rekonstrukciója </w:t>
      </w:r>
      <w:proofErr w:type="spellStart"/>
      <w:r>
        <w:t>br</w:t>
      </w:r>
      <w:proofErr w:type="spellEnd"/>
      <w:r>
        <w:t>. 7,3 m Ft-ot jelentett.</w:t>
      </w:r>
    </w:p>
    <w:p w:rsidR="00E735C8" w:rsidRDefault="00E735C8" w:rsidP="00E735C8">
      <w:pPr>
        <w:spacing w:before="120"/>
      </w:pPr>
      <w:r>
        <w:t>A NÉBIH beruházási célokra is kapott a fejezettől támogatási okiratban kötött felh</w:t>
      </w:r>
      <w:r w:rsidR="0095776F">
        <w:t>asználási célra támogatást, illetve ezek részben a 2015. évi maradvány részét képezték. Ezek elsősorban az Állami Halőri Szolgálat és az időjárás kockázatkezelési rendszer infrastrukturális feltételeit biztosították.</w:t>
      </w:r>
    </w:p>
    <w:p w:rsidR="0095776F" w:rsidRDefault="0095776F" w:rsidP="00E735C8">
      <w:pPr>
        <w:spacing w:before="120"/>
      </w:pPr>
      <w:r>
        <w:t>A NÉBIH egyéb saját forrásai terhére is valósított meg beruházásokat-felújításokat, ezek közül kiemelendő a faanyag kereskedelmi lánc szereplőinek nyilvántar</w:t>
      </w:r>
      <w:r w:rsidR="004E43AC">
        <w:t>t</w:t>
      </w:r>
      <w:r>
        <w:t xml:space="preserve">ásához és ellenőrzéséhez (EUTR) szükséges szakrendszer fejlesztése.    </w:t>
      </w:r>
    </w:p>
    <w:p w:rsidR="00DE18A2" w:rsidRDefault="00DE18A2" w:rsidP="00DE18A2"/>
    <w:p w:rsidR="00916725" w:rsidRDefault="00FC60E6" w:rsidP="00FC60E6">
      <w:r w:rsidRPr="00E75D04">
        <w:t xml:space="preserve">A </w:t>
      </w:r>
      <w:r w:rsidR="0043091A">
        <w:t xml:space="preserve">NÉBIH </w:t>
      </w:r>
      <w:r w:rsidRPr="00FC60E6">
        <w:rPr>
          <w:b/>
        </w:rPr>
        <w:t>tartozásállomány</w:t>
      </w:r>
      <w:r w:rsidR="0043091A">
        <w:rPr>
          <w:b/>
        </w:rPr>
        <w:t>á</w:t>
      </w:r>
      <w:r w:rsidRPr="00FC60E6">
        <w:rPr>
          <w:b/>
        </w:rPr>
        <w:t>ról</w:t>
      </w:r>
      <w:r w:rsidRPr="00E75D04">
        <w:t xml:space="preserve"> szóló adatszolgáltatás alapján a havi átlagos elismert lejárt tartozásállomány 2016-ban 81 millió Ft volt, ami </w:t>
      </w:r>
      <w:r w:rsidRPr="00E75D04">
        <w:rPr>
          <w:b/>
        </w:rPr>
        <w:t>a 2015. évi havi átlagos elismert tartozásállományhoz képest 32%-kal alacsonyabb</w:t>
      </w:r>
      <w:r w:rsidR="00916725">
        <w:rPr>
          <w:b/>
        </w:rPr>
        <w:t xml:space="preserve">, </w:t>
      </w:r>
      <w:r w:rsidR="00916725" w:rsidRPr="00916725">
        <w:t>de</w:t>
      </w:r>
      <w:r w:rsidR="00916725">
        <w:rPr>
          <w:b/>
        </w:rPr>
        <w:t xml:space="preserve"> </w:t>
      </w:r>
      <w:r w:rsidR="00916725" w:rsidRPr="00916725">
        <w:t>némileg</w:t>
      </w:r>
      <w:r w:rsidR="00916725">
        <w:rPr>
          <w:b/>
        </w:rPr>
        <w:t xml:space="preserve"> </w:t>
      </w:r>
      <w:r w:rsidR="00916725">
        <w:t>a</w:t>
      </w:r>
      <w:r w:rsidR="0043091A">
        <w:t>lacsonyabb</w:t>
      </w:r>
      <w:r w:rsidRPr="00E75D04">
        <w:t xml:space="preserve"> a 2014. évi átlagos 86 millió Ft</w:t>
      </w:r>
      <w:r w:rsidR="00916725">
        <w:t>-nál is</w:t>
      </w:r>
      <w:r w:rsidRPr="00E75D04">
        <w:t xml:space="preserve">. Az átlagnál majdnem két és félszer magasabb júniusban volt a tartozásállomány, amely </w:t>
      </w:r>
      <w:r w:rsidR="00916725">
        <w:t xml:space="preserve">azt tükrözi, hogy a NÉBIH csak </w:t>
      </w:r>
      <w:proofErr w:type="gramStart"/>
      <w:r w:rsidR="00916725">
        <w:t>2016 júliusban</w:t>
      </w:r>
      <w:proofErr w:type="gramEnd"/>
      <w:r w:rsidR="00916725">
        <w:t xml:space="preserve"> kapta meg a várt költségvetési támogatást a sávos felügyeleti díj kiesése miatt és ez átmeneti likviditási nehézséget okozott, viszont ez jóval hamarabb rendeződött, mint 2015-ben.</w:t>
      </w:r>
    </w:p>
    <w:p w:rsidR="00916725" w:rsidRDefault="00916725" w:rsidP="00FC60E6"/>
    <w:p w:rsidR="00237A05" w:rsidRDefault="00916725" w:rsidP="00FC60E6">
      <w:r>
        <w:t xml:space="preserve"> </w:t>
      </w:r>
      <w:r w:rsidR="00FC60E6" w:rsidRPr="00E75D04">
        <w:t>Az éves átlagos elismert közüzemi tartozásállomány 3 millió Ft volt, az államháztartáson belüli szállítói lejárt tartozásállomány átlaga 4 millió Ft volt, amely az előző évi átlagos 9 millió Ft-ho</w:t>
      </w:r>
      <w:r w:rsidR="00FC60E6">
        <w:t>z képest jelentős javulást jelent</w:t>
      </w:r>
      <w:r w:rsidR="00FC60E6" w:rsidRPr="00E75D04">
        <w:t>. Az államháztartáson belüli tartozásállomány jelentős részét 2016-ban is a megyei Kormányhivatalok részére megtérített labor rezsi számlák jelentették. Az állammal szembeni központosított bevételek (bírság bevételek) tartozásállománya átlagosan 20 millió Ft volt, amely majdnem a</w:t>
      </w:r>
      <w:r>
        <w:t xml:space="preserve"> fele az előző évi adatnak</w:t>
      </w:r>
      <w:r w:rsidR="00FC60E6" w:rsidRPr="00E75D04">
        <w:t xml:space="preserve"> (ezen a soron 2016-ban is csak</w:t>
      </w:r>
      <w:r>
        <w:t xml:space="preserve"> három hónapban szerepelt adat), azaz a NÉBIH ügyelt arra, hogy a központi költségvetést megillető bevételeket szabályszerűen utalja tovább.</w:t>
      </w:r>
    </w:p>
    <w:p w:rsidR="00237A05" w:rsidRDefault="00237A05" w:rsidP="00FC60E6"/>
    <w:p w:rsidR="00FC60E6" w:rsidRDefault="00FC60E6" w:rsidP="00FC60E6">
      <w:r w:rsidRPr="00E75D04">
        <w:t>Megállapítható, hogy 2016-ban is leginkább a 30 napon belül lejárt egyéb, áruszállítással kapcsolatos tartozásállomány volt jellemző államháztartáson kívülre, amely rövid idő</w:t>
      </w:r>
      <w:r w:rsidR="00916725">
        <w:t>n belül végül rendezésre került, keletkezésnek inkább technikai okai voltak, mint pénzügyiek (pl. a teljesítésigazolás hossza a sok</w:t>
      </w:r>
      <w:r w:rsidR="00B913E5">
        <w:t>, elkülönült</w:t>
      </w:r>
      <w:r w:rsidR="00916725">
        <w:t xml:space="preserve"> telephelyen működő szervezetben). </w:t>
      </w:r>
    </w:p>
    <w:p w:rsidR="00DE18A2" w:rsidRDefault="00DE18A2" w:rsidP="00DE18A2"/>
    <w:p w:rsidR="009E0050" w:rsidRDefault="00DE18A2" w:rsidP="00DE18A2">
      <w:pPr>
        <w:rPr>
          <w:b/>
          <w:u w:val="single"/>
        </w:rPr>
      </w:pPr>
      <w:r>
        <w:rPr>
          <w:b/>
          <w:u w:val="single"/>
        </w:rPr>
        <w:t xml:space="preserve">Bevételi </w:t>
      </w:r>
      <w:r w:rsidRPr="007C065B">
        <w:rPr>
          <w:b/>
          <w:u w:val="single"/>
        </w:rPr>
        <w:t>előirányzatok</w:t>
      </w:r>
    </w:p>
    <w:p w:rsidR="00DE18A2" w:rsidRDefault="00DE18A2" w:rsidP="00DE18A2">
      <w:pPr>
        <w:rPr>
          <w:b/>
        </w:rPr>
      </w:pPr>
      <w:r w:rsidRPr="007C065B">
        <w:rPr>
          <w:b/>
          <w:u w:val="single"/>
        </w:rPr>
        <w:t xml:space="preserve"> </w:t>
      </w:r>
    </w:p>
    <w:p w:rsidR="00DE18A2" w:rsidRDefault="00DE18A2" w:rsidP="00DE18A2">
      <w:r>
        <w:rPr>
          <w:b/>
        </w:rPr>
        <w:t>K</w:t>
      </w:r>
      <w:r w:rsidRPr="00CB6E80">
        <w:rPr>
          <w:b/>
        </w:rPr>
        <w:t>özhatalmi bevétel</w:t>
      </w:r>
      <w:r>
        <w:t xml:space="preserve">: A közhatalmi bevételek </w:t>
      </w:r>
      <w:r w:rsidR="007016BD">
        <w:t xml:space="preserve">döntő többségét, </w:t>
      </w:r>
      <w:r>
        <w:t xml:space="preserve">mintegy </w:t>
      </w:r>
      <w:r w:rsidRPr="002B267E">
        <w:t xml:space="preserve">71,35% </w:t>
      </w:r>
      <w:proofErr w:type="spellStart"/>
      <w:r>
        <w:t>-át</w:t>
      </w:r>
      <w:proofErr w:type="spellEnd"/>
      <w:r>
        <w:t xml:space="preserve"> 2016. évben is az élelmiszerlánc-felügyeleti díj bevétel képezi.</w:t>
      </w:r>
      <w:r w:rsidR="004E43AC">
        <w:t xml:space="preserve"> A felügyeleti díj bevétel 569,5 millió Ft-tal, 12%-kal növekedett 2015-höz képest. A növekedés nagyságrendje azonban jórészt egy egyszeri hatás következménye: a sávos felügyeleti díj kivezetésekor 2015 végén átmeneti intézkedés írta elő, hogy a kiskereskedelmi szereplőknek 2015. évi bevallásukat 2015. december 31-ig kellett helyesbíteni és ezzel a díj mindkét részletének fizetési határideje 2016. január 31. lett. Önmagában a NÉBIH felügyeleti díj bevételében ennek </w:t>
      </w:r>
      <w:proofErr w:type="gramStart"/>
      <w:r w:rsidR="004E43AC">
        <w:t>hatása                               kb.</w:t>
      </w:r>
      <w:proofErr w:type="gramEnd"/>
      <w:r w:rsidR="004E43AC">
        <w:t xml:space="preserve"> 200 millió Ft.  </w:t>
      </w:r>
      <w:r w:rsidR="00110591">
        <w:t xml:space="preserve">Az intenzív felügyeleti díj ellenőrzések hatására </w:t>
      </w:r>
      <w:r w:rsidR="00110591" w:rsidRPr="00110591">
        <w:t xml:space="preserve">– a kintlévőségek folyamatos csökkenése mellett – az ellenőrzések hatására a pótlólagosan benyújtott </w:t>
      </w:r>
      <w:r w:rsidR="00110591" w:rsidRPr="00110591">
        <w:lastRenderedPageBreak/>
        <w:t>bevallásokban 367 millió Ft-ot meghaladó összegű felügyeleti díj kötelezettséget realizáltunk</w:t>
      </w:r>
      <w:r w:rsidR="00110591">
        <w:t xml:space="preserve">, amelyből a </w:t>
      </w:r>
      <w:proofErr w:type="spellStart"/>
      <w:r w:rsidR="00110591">
        <w:t>NÉBIH-et</w:t>
      </w:r>
      <w:proofErr w:type="spellEnd"/>
      <w:r w:rsidR="00110591">
        <w:t xml:space="preserve"> megillető hányad kb. 169 millió Ft. </w:t>
      </w:r>
      <w:r w:rsidR="004E43AC">
        <w:t xml:space="preserve"> </w:t>
      </w:r>
    </w:p>
    <w:p w:rsidR="004E43AC" w:rsidRDefault="004E43AC" w:rsidP="00DE18A2"/>
    <w:p w:rsidR="004E43AC" w:rsidRDefault="004E43AC" w:rsidP="00DE18A2">
      <w:r>
        <w:t xml:space="preserve">Az egyéb közhatalmi bevételek szintje nagyságrendileg </w:t>
      </w:r>
      <w:r w:rsidR="00B913E5">
        <w:t xml:space="preserve">évek óta </w:t>
      </w:r>
      <w:r>
        <w:t xml:space="preserve">változatlan. </w:t>
      </w:r>
    </w:p>
    <w:p w:rsidR="00DE18A2" w:rsidRPr="00386744" w:rsidRDefault="00DE18A2" w:rsidP="00DE18A2">
      <w:pPr>
        <w:rPr>
          <w:highlight w:val="lightGray"/>
        </w:rPr>
      </w:pPr>
    </w:p>
    <w:p w:rsidR="00110591" w:rsidRDefault="00DE18A2" w:rsidP="00DE18A2">
      <w:r w:rsidRPr="00545F46">
        <w:t xml:space="preserve"> Az intézményi </w:t>
      </w:r>
      <w:r w:rsidRPr="00545F46">
        <w:rPr>
          <w:b/>
        </w:rPr>
        <w:t>működési bevételek</w:t>
      </w:r>
      <w:r w:rsidRPr="00545F46">
        <w:t xml:space="preserve"> elsősorban a laboratóriumok szolgáltató tevékenységéből származó bevételeket fedi le. Ezen az előirányzaton a bevétel túlteljesülése miatt felügyeleti szervi hatáskörű előirányzat-emelést kezdeményeztünk, a többletbevételt a Hivatal a napi működésére használta fel.</w:t>
      </w:r>
      <w:r w:rsidR="006868C9">
        <w:t xml:space="preserve"> A többletbevétel egyszeri hatásként elsősorban a talajvizsgálatokat végző laboratóriumokból származik, mivel a 2016. évi agrárkörnyezet-gazdálkodási pályázatok követelményeként az igénylőknek 2016. dec. 31-ig kötelező volt talajvizsgálatot végeztetniük.</w:t>
      </w:r>
      <w:r w:rsidRPr="00545F46">
        <w:t xml:space="preserve"> A realizált bevételeket összességében, illetve a közhatalmi és működési szakterületi bontásban a következő két tábl</w:t>
      </w:r>
      <w:r w:rsidR="00110591">
        <w:t>ázat szemléleti részletesen.</w:t>
      </w:r>
    </w:p>
    <w:p w:rsidR="007F19D3" w:rsidRDefault="007F19D3" w:rsidP="00DE18A2"/>
    <w:p w:rsidR="007F19D3" w:rsidRDefault="007F19D3" w:rsidP="007F19D3">
      <w:pPr>
        <w:jc w:val="center"/>
        <w:rPr>
          <w:color w:val="000000"/>
          <w:u w:val="single"/>
        </w:rPr>
      </w:pPr>
      <w:r w:rsidRPr="002B267E">
        <w:rPr>
          <w:color w:val="000000"/>
          <w:u w:val="single"/>
        </w:rPr>
        <w:t>201</w:t>
      </w:r>
      <w:r>
        <w:rPr>
          <w:color w:val="000000"/>
          <w:u w:val="single"/>
        </w:rPr>
        <w:t>6</w:t>
      </w:r>
      <w:r w:rsidRPr="002B267E">
        <w:rPr>
          <w:color w:val="000000"/>
          <w:u w:val="single"/>
        </w:rPr>
        <w:t>. évi bevételek előirányzat-teljesítés</w:t>
      </w:r>
    </w:p>
    <w:p w:rsidR="00AA0369" w:rsidRDefault="00AA0369" w:rsidP="007F19D3">
      <w:pPr>
        <w:jc w:val="center"/>
        <w:rPr>
          <w:color w:val="000000"/>
          <w:u w:val="single"/>
        </w:rPr>
      </w:pPr>
    </w:p>
    <w:p w:rsidR="007F19D3" w:rsidRPr="00AA0369" w:rsidRDefault="007F19D3" w:rsidP="007F19D3">
      <w:pPr>
        <w:jc w:val="right"/>
        <w:rPr>
          <w:i/>
          <w:sz w:val="20"/>
          <w:szCs w:val="20"/>
        </w:rPr>
      </w:pPr>
      <w:proofErr w:type="gramStart"/>
      <w:r w:rsidRPr="00AA0369">
        <w:rPr>
          <w:i/>
          <w:color w:val="000000"/>
          <w:sz w:val="20"/>
          <w:szCs w:val="20"/>
        </w:rPr>
        <w:t>adatok</w:t>
      </w:r>
      <w:proofErr w:type="gramEnd"/>
      <w:r w:rsidRPr="00AA0369">
        <w:rPr>
          <w:i/>
          <w:color w:val="000000"/>
          <w:sz w:val="20"/>
          <w:szCs w:val="20"/>
        </w:rPr>
        <w:t xml:space="preserve"> ezer Ft-ban</w:t>
      </w:r>
    </w:p>
    <w:tbl>
      <w:tblPr>
        <w:tblW w:w="9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8"/>
        <w:gridCol w:w="1420"/>
        <w:gridCol w:w="1420"/>
        <w:gridCol w:w="1420"/>
      </w:tblGrid>
      <w:tr w:rsidR="00110591" w:rsidRPr="002B267E" w:rsidTr="007F19D3">
        <w:trPr>
          <w:trHeight w:val="510"/>
          <w:tblHeader/>
          <w:jc w:val="center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center"/>
            </w:pPr>
            <w:r w:rsidRPr="002B267E">
              <w:t>Megnevezés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center"/>
            </w:pPr>
            <w:r w:rsidRPr="002B267E">
              <w:t xml:space="preserve">Eredeti </w:t>
            </w:r>
            <w:r w:rsidRPr="002B267E">
              <w:br/>
              <w:t>előirányzat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center"/>
            </w:pPr>
            <w:r w:rsidRPr="002B267E">
              <w:t>Módosított</w:t>
            </w:r>
            <w:r w:rsidRPr="002B267E">
              <w:br/>
              <w:t xml:space="preserve">előirányzat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center"/>
            </w:pPr>
            <w:r w:rsidRPr="002B267E">
              <w:t>Teljesítés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 xml:space="preserve">B1601 - </w:t>
            </w:r>
            <w:proofErr w:type="spellStart"/>
            <w:r w:rsidRPr="002B267E">
              <w:t>Egy.műk</w:t>
            </w:r>
            <w:proofErr w:type="gramStart"/>
            <w:r w:rsidRPr="002B267E">
              <w:t>.c.t</w:t>
            </w:r>
            <w:proofErr w:type="gramEnd"/>
            <w:r w:rsidRPr="002B267E">
              <w:t>ám.bev.Kp.ktgv.sz.től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91 001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C313DE">
              <w:t>91 001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 xml:space="preserve">B1603 - </w:t>
            </w:r>
            <w:proofErr w:type="spellStart"/>
            <w:r w:rsidRPr="002B267E">
              <w:t>Egy.műk</w:t>
            </w:r>
            <w:proofErr w:type="gramStart"/>
            <w:r w:rsidRPr="002B267E">
              <w:t>.c.t</w:t>
            </w:r>
            <w:proofErr w:type="gramEnd"/>
            <w:r w:rsidRPr="002B267E">
              <w:t>ám.bev.Fej.kez.ei.EU</w:t>
            </w:r>
            <w:proofErr w:type="spellEnd"/>
            <w:r w:rsidRPr="002B267E">
              <w:t xml:space="preserve"> </w:t>
            </w:r>
            <w:proofErr w:type="spellStart"/>
            <w:r w:rsidRPr="002B267E">
              <w:t>pr</w:t>
            </w:r>
            <w:proofErr w:type="spellEnd"/>
            <w:r w:rsidRPr="002B267E"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296 175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47B82">
              <w:t>242 13</w:t>
            </w:r>
            <w:r>
              <w:t>6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 xml:space="preserve">B1604 - </w:t>
            </w:r>
            <w:proofErr w:type="spellStart"/>
            <w:r w:rsidRPr="002B267E">
              <w:t>Egy.műk</w:t>
            </w:r>
            <w:proofErr w:type="gramStart"/>
            <w:r w:rsidRPr="002B267E">
              <w:t>.c.t</w:t>
            </w:r>
            <w:proofErr w:type="gramEnd"/>
            <w:r w:rsidRPr="002B267E">
              <w:t>ám.bev.Egyéb</w:t>
            </w:r>
            <w:proofErr w:type="spellEnd"/>
            <w:r w:rsidRPr="002B267E">
              <w:t xml:space="preserve"> </w:t>
            </w:r>
            <w:proofErr w:type="spellStart"/>
            <w:r w:rsidRPr="002B267E">
              <w:t>fej.kez.ei</w:t>
            </w:r>
            <w:proofErr w:type="spellEnd"/>
            <w:r w:rsidRPr="002B267E"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2 095 392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C313DE">
              <w:t>2 095 39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 xml:space="preserve">B1606 - </w:t>
            </w:r>
            <w:proofErr w:type="spellStart"/>
            <w:r w:rsidRPr="002B267E">
              <w:t>Egy.műk</w:t>
            </w:r>
            <w:proofErr w:type="gramStart"/>
            <w:r w:rsidRPr="002B267E">
              <w:t>.c.t</w:t>
            </w:r>
            <w:proofErr w:type="gramEnd"/>
            <w:r w:rsidRPr="002B267E">
              <w:t>ám.bevétel</w:t>
            </w:r>
            <w:proofErr w:type="spellEnd"/>
            <w:r w:rsidRPr="002B267E">
              <w:t xml:space="preserve"> </w:t>
            </w:r>
            <w:proofErr w:type="spellStart"/>
            <w:r w:rsidRPr="002B267E">
              <w:t>ELKA-tól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C313DE">
              <w:t>6 489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C313DE">
              <w:t>6 489</w:t>
            </w:r>
          </w:p>
        </w:tc>
      </w:tr>
      <w:tr w:rsidR="00110591" w:rsidRPr="00C313D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C313DE" w:rsidRDefault="00110591" w:rsidP="00EE5508">
            <w:pPr>
              <w:tabs>
                <w:tab w:val="left" w:pos="7741"/>
              </w:tabs>
              <w:jc w:val="left"/>
              <w:rPr>
                <w:bCs/>
              </w:rPr>
            </w:pPr>
            <w:r w:rsidRPr="002B267E">
              <w:t>B1606</w:t>
            </w:r>
            <w:r>
              <w:t xml:space="preserve"> - </w:t>
            </w:r>
            <w:r w:rsidRPr="00C313DE">
              <w:rPr>
                <w:bCs/>
              </w:rPr>
              <w:t xml:space="preserve">Egyéb </w:t>
            </w:r>
            <w:proofErr w:type="spellStart"/>
            <w:r w:rsidRPr="00C313DE">
              <w:rPr>
                <w:bCs/>
              </w:rPr>
              <w:t>Műk</w:t>
            </w:r>
            <w:proofErr w:type="gramStart"/>
            <w:r w:rsidRPr="00C313DE">
              <w:rPr>
                <w:bCs/>
              </w:rPr>
              <w:t>.c</w:t>
            </w:r>
            <w:proofErr w:type="spellEnd"/>
            <w:r w:rsidRPr="00C313DE">
              <w:rPr>
                <w:bCs/>
              </w:rPr>
              <w:t>.</w:t>
            </w:r>
            <w:proofErr w:type="gramEnd"/>
            <w:r w:rsidRPr="00C313DE">
              <w:rPr>
                <w:bCs/>
              </w:rPr>
              <w:t xml:space="preserve"> </w:t>
            </w:r>
            <w:proofErr w:type="spellStart"/>
            <w:r w:rsidRPr="00C313DE">
              <w:rPr>
                <w:bCs/>
              </w:rPr>
              <w:t>tám-k</w:t>
            </w:r>
            <w:proofErr w:type="spellEnd"/>
            <w:r w:rsidRPr="00C313DE">
              <w:rPr>
                <w:bCs/>
              </w:rPr>
              <w:t xml:space="preserve"> </w:t>
            </w:r>
            <w:proofErr w:type="spellStart"/>
            <w:r w:rsidRPr="00C313DE">
              <w:rPr>
                <w:bCs/>
              </w:rPr>
              <w:t>bev</w:t>
            </w:r>
            <w:proofErr w:type="spellEnd"/>
            <w:r w:rsidRPr="00C313DE">
              <w:rPr>
                <w:bCs/>
              </w:rPr>
              <w:t xml:space="preserve">. társulásoktól és </w:t>
            </w:r>
            <w:proofErr w:type="spellStart"/>
            <w:r w:rsidRPr="00C313DE">
              <w:rPr>
                <w:bCs/>
              </w:rPr>
              <w:t>ktgv-i</w:t>
            </w:r>
            <w:proofErr w:type="spellEnd"/>
            <w:r w:rsidRPr="00C313DE">
              <w:rPr>
                <w:bCs/>
              </w:rPr>
              <w:t xml:space="preserve"> szerveiktől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C313DE" w:rsidRDefault="00110591" w:rsidP="00EE5508">
            <w:pPr>
              <w:tabs>
                <w:tab w:val="left" w:pos="7741"/>
              </w:tabs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C313DE" w:rsidRDefault="00110591" w:rsidP="00EE5508">
            <w:pPr>
              <w:tabs>
                <w:tab w:val="left" w:pos="7741"/>
              </w:tabs>
              <w:jc w:val="right"/>
              <w:rPr>
                <w:bCs/>
              </w:rPr>
            </w:pPr>
            <w:r w:rsidRPr="00C313DE">
              <w:rPr>
                <w:bCs/>
              </w:rPr>
              <w:t>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C313DE" w:rsidRDefault="00110591" w:rsidP="00EE5508">
            <w:pPr>
              <w:tabs>
                <w:tab w:val="left" w:pos="7741"/>
              </w:tabs>
              <w:jc w:val="right"/>
              <w:rPr>
                <w:bCs/>
              </w:rPr>
            </w:pPr>
            <w:r w:rsidRPr="00C313DE">
              <w:rPr>
                <w:bCs/>
              </w:rPr>
              <w:t>250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</w:rPr>
              <w:t xml:space="preserve">B1 - </w:t>
            </w:r>
            <w:proofErr w:type="spellStart"/>
            <w:r w:rsidRPr="002B267E">
              <w:rPr>
                <w:b/>
                <w:bCs/>
              </w:rPr>
              <w:t>Műk</w:t>
            </w:r>
            <w:proofErr w:type="gramStart"/>
            <w:r w:rsidRPr="002B267E">
              <w:rPr>
                <w:b/>
                <w:bCs/>
              </w:rPr>
              <w:t>.c.t</w:t>
            </w:r>
            <w:proofErr w:type="gramEnd"/>
            <w:r w:rsidRPr="002B267E">
              <w:rPr>
                <w:b/>
                <w:bCs/>
              </w:rPr>
              <w:t>ám.áh.belülről</w:t>
            </w:r>
            <w:proofErr w:type="spellEnd"/>
            <w:r w:rsidRPr="002B267E">
              <w:rPr>
                <w:b/>
                <w:bCs/>
              </w:rPr>
              <w:t xml:space="preserve"> összesen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B267E">
              <w:rPr>
                <w:b/>
                <w:bCs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C313DE">
              <w:rPr>
                <w:b/>
                <w:bCs/>
              </w:rPr>
              <w:t>2 489 307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C313DE">
              <w:rPr>
                <w:b/>
                <w:bCs/>
              </w:rPr>
              <w:t>2 435 268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</w:rPr>
            </w:pPr>
            <w:r w:rsidRPr="002B267E">
              <w:rPr>
                <w:b/>
              </w:rPr>
              <w:t>B25 - Egyéb felhalmozási támogatások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</w:rPr>
            </w:pPr>
            <w:r w:rsidRPr="002B267E">
              <w:rPr>
                <w:b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</w:rPr>
            </w:pPr>
            <w:r w:rsidRPr="00235BEB">
              <w:rPr>
                <w:b/>
              </w:rPr>
              <w:t>25 025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</w:rPr>
            </w:pPr>
            <w:r w:rsidRPr="00235BEB">
              <w:rPr>
                <w:b/>
              </w:rPr>
              <w:t>1 750 320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</w:rPr>
              <w:t>B3 - Közhatalmi bevételek összesen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021020">
              <w:rPr>
                <w:b/>
                <w:bCs/>
              </w:rPr>
              <w:t>18 092 600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8 692 600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7 583 151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B401 – Készletértékesítés ellenértéke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105 000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121 649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121 649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B402 - Szolgáltatások ellenértéke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1 792 000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1 828 778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1 828 778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B403 - Közvetített szolgáltatások ellenért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13 000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11 111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11 111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B406 - Kiszámlázott általános forgalmi adó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765 000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815 090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815 090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 xml:space="preserve">B40802 - Kamatbevételek </w:t>
            </w:r>
            <w:proofErr w:type="spellStart"/>
            <w:r w:rsidRPr="002B267E">
              <w:t>államházt</w:t>
            </w:r>
            <w:proofErr w:type="gramStart"/>
            <w:r w:rsidRPr="002B267E">
              <w:t>.kívülről</w:t>
            </w:r>
            <w:proofErr w:type="spellEnd"/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10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B409 – Egyéb pénzügyi műveletek bevétele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1 273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1 273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B410 – Biztosító által fizetett kártérítés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1 579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3027B8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1 579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B411 - Egyéb működési bevételek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021020">
              <w:t>25 000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34 874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Default="00110591" w:rsidP="00EE5508">
            <w:pPr>
              <w:tabs>
                <w:tab w:val="left" w:pos="7741"/>
              </w:tabs>
              <w:jc w:val="right"/>
            </w:pPr>
            <w:r w:rsidRPr="003027B8">
              <w:t>34 874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</w:rPr>
              <w:t>B4 - Működési bevételek összesen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021020">
              <w:rPr>
                <w:b/>
                <w:bCs/>
              </w:rPr>
              <w:t>2 700 000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2 814 364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2 814 364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>B53 - Egyéb tárgyi eszközök értékesítése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35BEB">
              <w:t>1 463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35BEB">
              <w:t>1 455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</w:rPr>
              <w:t xml:space="preserve">B5 - Felhalmozási </w:t>
            </w:r>
            <w:proofErr w:type="spellStart"/>
            <w:r w:rsidRPr="002B267E">
              <w:rPr>
                <w:b/>
                <w:bCs/>
              </w:rPr>
              <w:t>bev</w:t>
            </w:r>
            <w:proofErr w:type="spellEnd"/>
            <w:r w:rsidRPr="002B267E">
              <w:rPr>
                <w:b/>
                <w:bCs/>
              </w:rPr>
              <w:t>. összesen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B267E">
              <w:rPr>
                <w:b/>
                <w:bCs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1 463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1 455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 xml:space="preserve">B6506 – Egyéb </w:t>
            </w:r>
            <w:proofErr w:type="spellStart"/>
            <w:r w:rsidRPr="002B267E">
              <w:t>műk</w:t>
            </w:r>
            <w:proofErr w:type="gramStart"/>
            <w:r w:rsidRPr="002B267E">
              <w:t>.célú</w:t>
            </w:r>
            <w:proofErr w:type="spellEnd"/>
            <w:proofErr w:type="gramEnd"/>
            <w:r w:rsidRPr="002B267E">
              <w:t xml:space="preserve"> </w:t>
            </w:r>
            <w:proofErr w:type="spellStart"/>
            <w:r w:rsidRPr="002B267E">
              <w:t>peszk.többs.tul</w:t>
            </w:r>
            <w:proofErr w:type="spellEnd"/>
            <w:r w:rsidRPr="002B267E">
              <w:t xml:space="preserve"> nem </w:t>
            </w:r>
            <w:proofErr w:type="spellStart"/>
            <w:r w:rsidRPr="002B267E">
              <w:t>pü</w:t>
            </w:r>
            <w:proofErr w:type="spellEnd"/>
            <w:r w:rsidRPr="002B267E">
              <w:t>. váll.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35BEB">
              <w:t>63 931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35BEB">
              <w:t>63 931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t xml:space="preserve">B6509 - Egyéb </w:t>
            </w:r>
            <w:proofErr w:type="spellStart"/>
            <w:r w:rsidRPr="002B267E">
              <w:t>műk</w:t>
            </w:r>
            <w:proofErr w:type="gramStart"/>
            <w:r w:rsidRPr="002B267E">
              <w:t>.c.</w:t>
            </w:r>
            <w:proofErr w:type="gramEnd"/>
            <w:r w:rsidRPr="002B267E">
              <w:t>átv.pe</w:t>
            </w:r>
            <w:proofErr w:type="spellEnd"/>
            <w:r w:rsidRPr="002B267E">
              <w:t>. Európai Uniótól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484B00" w:rsidRDefault="00110591" w:rsidP="00EE5508">
            <w:pPr>
              <w:tabs>
                <w:tab w:val="left" w:pos="7741"/>
              </w:tabs>
              <w:jc w:val="right"/>
            </w:pPr>
            <w:r w:rsidRPr="00484B00">
              <w:t>831 318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7C5AF2" w:rsidRDefault="00110591" w:rsidP="00EE5508">
            <w:pPr>
              <w:tabs>
                <w:tab w:val="left" w:pos="7741"/>
              </w:tabs>
              <w:jc w:val="right"/>
            </w:pPr>
            <w:r w:rsidRPr="007C5AF2">
              <w:t>831 318</w:t>
            </w:r>
          </w:p>
        </w:tc>
      </w:tr>
      <w:tr w:rsidR="00110591" w:rsidRPr="00235BEB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35BEB" w:rsidRDefault="00110591" w:rsidP="00EE5508">
            <w:pPr>
              <w:tabs>
                <w:tab w:val="left" w:pos="7741"/>
              </w:tabs>
              <w:jc w:val="left"/>
              <w:rPr>
                <w:bCs/>
              </w:rPr>
            </w:pPr>
            <w:r>
              <w:rPr>
                <w:bCs/>
              </w:rPr>
              <w:t xml:space="preserve">B6511 - </w:t>
            </w:r>
            <w:r w:rsidRPr="00235BEB">
              <w:rPr>
                <w:bCs/>
              </w:rPr>
              <w:t xml:space="preserve">Egyéb </w:t>
            </w:r>
            <w:proofErr w:type="spellStart"/>
            <w:r w:rsidRPr="00235BEB">
              <w:rPr>
                <w:bCs/>
              </w:rPr>
              <w:t>műk</w:t>
            </w:r>
            <w:proofErr w:type="gramStart"/>
            <w:r>
              <w:rPr>
                <w:bCs/>
              </w:rPr>
              <w:t>.</w:t>
            </w:r>
            <w:r w:rsidRPr="00235BEB">
              <w:rPr>
                <w:bCs/>
              </w:rPr>
              <w:t>célú</w:t>
            </w:r>
            <w:proofErr w:type="spellEnd"/>
            <w:proofErr w:type="gramEnd"/>
            <w:r w:rsidRPr="00235BEB">
              <w:rPr>
                <w:bCs/>
              </w:rPr>
              <w:t xml:space="preserve"> átvett pénzeszközök egyéb külföldiektől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35BEB" w:rsidRDefault="00110591" w:rsidP="00EE5508">
            <w:pPr>
              <w:tabs>
                <w:tab w:val="left" w:pos="7741"/>
              </w:tabs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Default="00110591" w:rsidP="00EE5508">
            <w:pPr>
              <w:tabs>
                <w:tab w:val="left" w:pos="7741"/>
              </w:tabs>
              <w:jc w:val="right"/>
            </w:pPr>
            <w:r w:rsidRPr="00484B00">
              <w:t>27 307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Default="00110591" w:rsidP="00EE5508">
            <w:pPr>
              <w:tabs>
                <w:tab w:val="left" w:pos="7741"/>
              </w:tabs>
              <w:jc w:val="right"/>
            </w:pPr>
            <w:r w:rsidRPr="007C5AF2">
              <w:t>25 84</w:t>
            </w:r>
            <w:r>
              <w:t>3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</w:rPr>
              <w:t xml:space="preserve">B6 - </w:t>
            </w:r>
            <w:proofErr w:type="spellStart"/>
            <w:r w:rsidRPr="002B267E">
              <w:rPr>
                <w:b/>
                <w:bCs/>
              </w:rPr>
              <w:t>Műk</w:t>
            </w:r>
            <w:proofErr w:type="gramStart"/>
            <w:r w:rsidRPr="002B267E">
              <w:rPr>
                <w:b/>
                <w:bCs/>
              </w:rPr>
              <w:t>.c.</w:t>
            </w:r>
            <w:proofErr w:type="gramEnd"/>
            <w:r w:rsidRPr="002B267E">
              <w:rPr>
                <w:b/>
                <w:bCs/>
              </w:rPr>
              <w:t>átvett</w:t>
            </w:r>
            <w:proofErr w:type="spellEnd"/>
            <w:r w:rsidRPr="002B267E">
              <w:rPr>
                <w:b/>
                <w:bCs/>
              </w:rPr>
              <w:t xml:space="preserve"> </w:t>
            </w:r>
            <w:proofErr w:type="spellStart"/>
            <w:r w:rsidRPr="002B267E">
              <w:rPr>
                <w:b/>
                <w:bCs/>
              </w:rPr>
              <w:t>pénzeszk.összesen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B267E">
              <w:rPr>
                <w:b/>
                <w:bCs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922 555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</w:rPr>
              <w:t>921 092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  <w:sz w:val="22"/>
                <w:szCs w:val="22"/>
              </w:rPr>
              <w:t xml:space="preserve">B7 - </w:t>
            </w:r>
            <w:proofErr w:type="spellStart"/>
            <w:r w:rsidRPr="002B267E">
              <w:rPr>
                <w:b/>
                <w:bCs/>
                <w:sz w:val="22"/>
                <w:szCs w:val="22"/>
              </w:rPr>
              <w:t>Felh.c</w:t>
            </w:r>
            <w:proofErr w:type="gramStart"/>
            <w:r w:rsidRPr="002B267E">
              <w:rPr>
                <w:b/>
                <w:bCs/>
                <w:sz w:val="22"/>
                <w:szCs w:val="22"/>
              </w:rPr>
              <w:t>.átvett</w:t>
            </w:r>
            <w:proofErr w:type="spellEnd"/>
            <w:proofErr w:type="gramEnd"/>
            <w:r w:rsidRPr="002B267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B267E">
              <w:rPr>
                <w:b/>
                <w:bCs/>
                <w:sz w:val="22"/>
                <w:szCs w:val="22"/>
              </w:rPr>
              <w:t>pénzeszk.összesen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B267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  <w:sz w:val="22"/>
                <w:szCs w:val="22"/>
              </w:rPr>
              <w:t>90 107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  <w:sz w:val="22"/>
                <w:szCs w:val="22"/>
              </w:rPr>
              <w:t>90 107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  <w:sz w:val="22"/>
                <w:szCs w:val="22"/>
              </w:rPr>
              <w:t xml:space="preserve">Költségvetési bevételek </w:t>
            </w:r>
            <w:proofErr w:type="spellStart"/>
            <w:r w:rsidRPr="002B267E">
              <w:rPr>
                <w:b/>
                <w:bCs/>
                <w:sz w:val="22"/>
                <w:szCs w:val="22"/>
              </w:rPr>
              <w:t>össz</w:t>
            </w:r>
            <w:proofErr w:type="spellEnd"/>
            <w:r w:rsidRPr="002B267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B267E">
              <w:rPr>
                <w:b/>
                <w:bCs/>
                <w:sz w:val="22"/>
                <w:szCs w:val="22"/>
              </w:rPr>
              <w:t>15 434 500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  <w:sz w:val="22"/>
                <w:szCs w:val="22"/>
              </w:rPr>
              <w:t>15 035 422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35BEB">
              <w:rPr>
                <w:b/>
                <w:bCs/>
                <w:sz w:val="22"/>
                <w:szCs w:val="22"/>
              </w:rPr>
              <w:t>15 595 758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rPr>
                <w:sz w:val="22"/>
                <w:szCs w:val="22"/>
              </w:rPr>
              <w:t>B816 - Költségvetési támogatás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rPr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4E6FDE">
              <w:rPr>
                <w:sz w:val="22"/>
                <w:szCs w:val="22"/>
              </w:rPr>
              <w:t>4 883 723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4E6FDE">
              <w:rPr>
                <w:sz w:val="22"/>
                <w:szCs w:val="22"/>
              </w:rPr>
              <w:t>4 883 723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</w:pPr>
            <w:r w:rsidRPr="002B267E">
              <w:rPr>
                <w:sz w:val="22"/>
                <w:szCs w:val="22"/>
              </w:rPr>
              <w:lastRenderedPageBreak/>
              <w:t xml:space="preserve">B8131 - </w:t>
            </w:r>
            <w:proofErr w:type="spellStart"/>
            <w:r w:rsidRPr="002B267E">
              <w:rPr>
                <w:sz w:val="22"/>
                <w:szCs w:val="22"/>
              </w:rPr>
              <w:t>Előz</w:t>
            </w:r>
            <w:proofErr w:type="gramStart"/>
            <w:r w:rsidRPr="002B267E">
              <w:rPr>
                <w:sz w:val="22"/>
                <w:szCs w:val="22"/>
              </w:rPr>
              <w:t>.év</w:t>
            </w:r>
            <w:proofErr w:type="spellEnd"/>
            <w:proofErr w:type="gramEnd"/>
            <w:r w:rsidRPr="002B267E">
              <w:rPr>
                <w:sz w:val="22"/>
                <w:szCs w:val="22"/>
              </w:rPr>
              <w:t xml:space="preserve"> </w:t>
            </w:r>
            <w:proofErr w:type="spellStart"/>
            <w:r w:rsidRPr="002B267E">
              <w:rPr>
                <w:sz w:val="22"/>
                <w:szCs w:val="22"/>
              </w:rPr>
              <w:t>ktsgv.maradv.igénybevétele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2B267E">
              <w:rPr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4E6FDE">
              <w:rPr>
                <w:sz w:val="22"/>
                <w:szCs w:val="22"/>
              </w:rPr>
              <w:t>1 944 630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</w:pPr>
            <w:r w:rsidRPr="004E6FDE">
              <w:rPr>
                <w:sz w:val="22"/>
                <w:szCs w:val="22"/>
              </w:rPr>
              <w:t>1 944 630</w:t>
            </w:r>
          </w:p>
        </w:tc>
      </w:tr>
      <w:tr w:rsidR="00110591" w:rsidRPr="002B267E" w:rsidTr="007F19D3">
        <w:trPr>
          <w:trHeight w:val="255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  <w:r w:rsidRPr="002B267E">
              <w:rPr>
                <w:b/>
                <w:bCs/>
                <w:sz w:val="22"/>
                <w:szCs w:val="22"/>
              </w:rPr>
              <w:t xml:space="preserve">B8 - </w:t>
            </w:r>
            <w:proofErr w:type="spellStart"/>
            <w:r w:rsidRPr="002B267E">
              <w:rPr>
                <w:b/>
                <w:bCs/>
                <w:sz w:val="22"/>
                <w:szCs w:val="22"/>
              </w:rPr>
              <w:t>Finanszíroz</w:t>
            </w:r>
            <w:proofErr w:type="gramStart"/>
            <w:r w:rsidRPr="002B267E">
              <w:rPr>
                <w:b/>
                <w:bCs/>
                <w:sz w:val="22"/>
                <w:szCs w:val="22"/>
              </w:rPr>
              <w:t>.bevételek</w:t>
            </w:r>
            <w:proofErr w:type="spellEnd"/>
            <w:proofErr w:type="gramEnd"/>
            <w:r w:rsidRPr="002B267E">
              <w:rPr>
                <w:b/>
                <w:bCs/>
                <w:sz w:val="22"/>
                <w:szCs w:val="22"/>
              </w:rPr>
              <w:t xml:space="preserve"> összesen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2B267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4E6FDE">
              <w:rPr>
                <w:b/>
                <w:bCs/>
                <w:sz w:val="22"/>
                <w:szCs w:val="22"/>
              </w:rPr>
              <w:t>6 828 353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4E6FDE">
              <w:rPr>
                <w:b/>
                <w:bCs/>
                <w:sz w:val="22"/>
                <w:szCs w:val="22"/>
              </w:rPr>
              <w:t>6 828 353</w:t>
            </w:r>
          </w:p>
        </w:tc>
      </w:tr>
      <w:tr w:rsidR="00110591" w:rsidRPr="002B267E" w:rsidTr="007F19D3">
        <w:trPr>
          <w:trHeight w:val="270"/>
          <w:jc w:val="center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  <w:i/>
                <w:iCs/>
              </w:rPr>
            </w:pPr>
            <w:r w:rsidRPr="002B267E">
              <w:rPr>
                <w:b/>
                <w:bCs/>
                <w:i/>
                <w:iCs/>
                <w:sz w:val="22"/>
                <w:szCs w:val="22"/>
              </w:rPr>
              <w:t>Bevételek összesen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  <w:i/>
                <w:iCs/>
              </w:rPr>
            </w:pPr>
            <w:r w:rsidRPr="002B267E">
              <w:rPr>
                <w:b/>
                <w:bCs/>
                <w:i/>
                <w:iCs/>
                <w:sz w:val="22"/>
                <w:szCs w:val="22"/>
              </w:rPr>
              <w:t>15 434 500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  <w:i/>
                <w:iCs/>
              </w:rPr>
            </w:pPr>
            <w:r w:rsidRPr="004E6FDE">
              <w:rPr>
                <w:b/>
                <w:bCs/>
                <w:i/>
                <w:iCs/>
                <w:sz w:val="22"/>
                <w:szCs w:val="22"/>
              </w:rPr>
              <w:t>21 863 775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10591" w:rsidRPr="002B267E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  <w:i/>
                <w:iCs/>
              </w:rPr>
            </w:pPr>
            <w:r w:rsidRPr="004E6FDE">
              <w:rPr>
                <w:b/>
                <w:bCs/>
                <w:i/>
                <w:iCs/>
                <w:sz w:val="22"/>
                <w:szCs w:val="22"/>
              </w:rPr>
              <w:t>22 424 111</w:t>
            </w:r>
          </w:p>
        </w:tc>
      </w:tr>
    </w:tbl>
    <w:p w:rsidR="00110591" w:rsidRDefault="00110591" w:rsidP="00110591">
      <w:pPr>
        <w:tabs>
          <w:tab w:val="left" w:pos="7741"/>
        </w:tabs>
      </w:pPr>
    </w:p>
    <w:p w:rsidR="00AA0369" w:rsidRDefault="0088157A" w:rsidP="0088157A">
      <w:pPr>
        <w:jc w:val="left"/>
      </w:pPr>
      <w:r>
        <w:t>S</w:t>
      </w:r>
      <w:r w:rsidR="00110591">
        <w:t xml:space="preserve">zakterülete szerint csoportosítja a közhatalmi és működési bevételeket a következő táblázat: </w:t>
      </w:r>
    </w:p>
    <w:p w:rsidR="00110591" w:rsidRPr="00A60313" w:rsidRDefault="00CD501B" w:rsidP="0088157A">
      <w:pPr>
        <w:jc w:val="left"/>
        <w:rPr>
          <w:rStyle w:val="Hiperhivatkozs"/>
          <w:sz w:val="20"/>
          <w:szCs w:val="20"/>
        </w:rPr>
      </w:pPr>
      <w:r>
        <w:fldChar w:fldCharType="begin"/>
      </w:r>
      <w:r w:rsidR="00110591">
        <w:instrText>HYPERLINK "C:\\Users\\vasporie\\AppData\\Local\\Microsoft\\Windows\\Temporary Internet Files\\Content.Outlook\\QD2DAODE\\Melléklet a 2014 évi szöveges beszámolóhoz KVI rész1.doc"</w:instrText>
      </w:r>
      <w:r>
        <w:fldChar w:fldCharType="separate"/>
      </w:r>
    </w:p>
    <w:p w:rsidR="007F19D3" w:rsidRPr="00AA0369" w:rsidRDefault="00CD501B" w:rsidP="00AA0369">
      <w:pPr>
        <w:ind w:left="5664" w:firstLine="708"/>
        <w:jc w:val="center"/>
        <w:rPr>
          <w:i/>
          <w:sz w:val="20"/>
          <w:szCs w:val="20"/>
        </w:rPr>
      </w:pPr>
      <w:r>
        <w:fldChar w:fldCharType="end"/>
      </w:r>
      <w:r w:rsidR="007F19D3" w:rsidRPr="007F19D3">
        <w:rPr>
          <w:i/>
          <w:color w:val="000000"/>
        </w:rPr>
        <w:t xml:space="preserve"> </w:t>
      </w:r>
      <w:proofErr w:type="gramStart"/>
      <w:r w:rsidR="007F19D3" w:rsidRPr="00AA0369">
        <w:rPr>
          <w:i/>
          <w:color w:val="000000"/>
          <w:sz w:val="20"/>
          <w:szCs w:val="20"/>
        </w:rPr>
        <w:t>adatok</w:t>
      </w:r>
      <w:proofErr w:type="gramEnd"/>
      <w:r w:rsidR="007F19D3" w:rsidRPr="00AA0369">
        <w:rPr>
          <w:i/>
          <w:color w:val="000000"/>
          <w:sz w:val="20"/>
          <w:szCs w:val="20"/>
        </w:rPr>
        <w:t xml:space="preserve"> ezer Ft-ban</w:t>
      </w:r>
    </w:p>
    <w:tbl>
      <w:tblPr>
        <w:tblW w:w="80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9"/>
        <w:gridCol w:w="1420"/>
        <w:gridCol w:w="1513"/>
      </w:tblGrid>
      <w:tr w:rsidR="00110591" w:rsidRPr="00984000" w:rsidTr="007F19D3">
        <w:trPr>
          <w:trHeight w:val="300"/>
          <w:tblHeader/>
          <w:jc w:val="center"/>
        </w:trPr>
        <w:tc>
          <w:tcPr>
            <w:tcW w:w="509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center"/>
              <w:rPr>
                <w:b/>
                <w:bCs/>
              </w:rPr>
            </w:pPr>
            <w:r w:rsidRPr="00984000">
              <w:rPr>
                <w:b/>
                <w:bCs/>
                <w:sz w:val="22"/>
                <w:szCs w:val="22"/>
              </w:rPr>
              <w:t>Megnevezése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center"/>
              <w:rPr>
                <w:b/>
                <w:bCs/>
              </w:rPr>
            </w:pPr>
            <w:r w:rsidRPr="00984000">
              <w:rPr>
                <w:b/>
                <w:bCs/>
                <w:sz w:val="22"/>
                <w:szCs w:val="22"/>
              </w:rPr>
              <w:t>Közhatalmi bevételek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center"/>
              <w:rPr>
                <w:b/>
                <w:bCs/>
              </w:rPr>
            </w:pPr>
            <w:r w:rsidRPr="00984000">
              <w:rPr>
                <w:b/>
                <w:bCs/>
                <w:sz w:val="22"/>
                <w:szCs w:val="22"/>
              </w:rPr>
              <w:t>Intézményi</w:t>
            </w:r>
          </w:p>
        </w:tc>
      </w:tr>
      <w:tr w:rsidR="00110591" w:rsidRPr="00984000" w:rsidTr="007F19D3">
        <w:trPr>
          <w:trHeight w:val="525"/>
          <w:tblHeader/>
          <w:jc w:val="center"/>
        </w:trPr>
        <w:tc>
          <w:tcPr>
            <w:tcW w:w="509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left"/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center"/>
              <w:rPr>
                <w:b/>
                <w:bCs/>
              </w:rPr>
            </w:pPr>
            <w:r w:rsidRPr="00984000">
              <w:rPr>
                <w:b/>
                <w:bCs/>
                <w:sz w:val="22"/>
                <w:szCs w:val="22"/>
              </w:rPr>
              <w:t>működési bevételek</w:t>
            </w:r>
          </w:p>
        </w:tc>
      </w:tr>
      <w:tr w:rsidR="00110591" w:rsidRPr="00984000" w:rsidTr="007F19D3">
        <w:trPr>
          <w:trHeight w:val="525"/>
          <w:jc w:val="center"/>
        </w:trPr>
        <w:tc>
          <w:tcPr>
            <w:tcW w:w="50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Növény-, Talaj- és Agrárkörnyezet-védelmi Igazgatóság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239 656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473 216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Földművelésügyi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134 637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811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Erdészeti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25 714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38 054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Állat-egészségügyi Diagnosztikai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1 458 794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Állat-egészségügyi és Állatvédelmi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267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Élelmiszer- és Takarmánybiztonsági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7 715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278 150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Állatgyógyászati Termékek Igazgatósága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226 480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93 615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Borászati és Alkoholos Italok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360 605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16 426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Növénytermesztési és Kertészeti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507 521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155 091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Állattenyésztési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634 030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144 846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Vagyongazdálkodási és Üzemeltetési Igazgatóság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>119 527</w:t>
            </w: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>
              <w:rPr>
                <w:sz w:val="22"/>
                <w:szCs w:val="22"/>
              </w:rPr>
              <w:t>Élelmiszerlánc-felügyeleti díj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424280">
              <w:rPr>
                <w:sz w:val="22"/>
                <w:szCs w:val="22"/>
              </w:rPr>
              <w:t>5 410 327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</w:p>
        </w:tc>
      </w:tr>
      <w:tr w:rsidR="00110591" w:rsidRPr="00984000" w:rsidTr="007F19D3">
        <w:trPr>
          <w:trHeight w:val="300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</w:pPr>
            <w:r w:rsidRPr="00984000">
              <w:rPr>
                <w:sz w:val="22"/>
                <w:szCs w:val="22"/>
              </w:rPr>
              <w:t>Egyéb közhatalmi és működési bevétel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>
              <w:rPr>
                <w:sz w:val="22"/>
                <w:szCs w:val="22"/>
              </w:rPr>
              <w:t>36 436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</w:pPr>
            <w:r w:rsidRPr="00984000">
              <w:rPr>
                <w:sz w:val="22"/>
                <w:szCs w:val="22"/>
              </w:rPr>
              <w:t xml:space="preserve">35 </w:t>
            </w:r>
            <w:r>
              <w:rPr>
                <w:sz w:val="22"/>
                <w:szCs w:val="22"/>
              </w:rPr>
              <w:t>297</w:t>
            </w:r>
          </w:p>
        </w:tc>
      </w:tr>
      <w:tr w:rsidR="00110591" w:rsidRPr="00984000" w:rsidTr="007F19D3">
        <w:trPr>
          <w:trHeight w:val="315"/>
          <w:jc w:val="center"/>
        </w:trPr>
        <w:tc>
          <w:tcPr>
            <w:tcW w:w="50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rPr>
                <w:b/>
                <w:bCs/>
              </w:rPr>
            </w:pPr>
            <w:r w:rsidRPr="00984000">
              <w:rPr>
                <w:b/>
                <w:bCs/>
                <w:sz w:val="22"/>
                <w:szCs w:val="22"/>
              </w:rPr>
              <w:t> Bevétel összesen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984000">
              <w:rPr>
                <w:b/>
                <w:bCs/>
                <w:sz w:val="22"/>
                <w:szCs w:val="22"/>
              </w:rPr>
              <w:t>7 583 151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10591" w:rsidRPr="00984000" w:rsidRDefault="00110591" w:rsidP="00EE5508">
            <w:pPr>
              <w:tabs>
                <w:tab w:val="left" w:pos="7741"/>
              </w:tabs>
              <w:jc w:val="right"/>
              <w:rPr>
                <w:b/>
                <w:bCs/>
              </w:rPr>
            </w:pPr>
            <w:r w:rsidRPr="00984000">
              <w:rPr>
                <w:b/>
                <w:bCs/>
                <w:sz w:val="22"/>
                <w:szCs w:val="22"/>
              </w:rPr>
              <w:t>2 814 364</w:t>
            </w:r>
          </w:p>
        </w:tc>
      </w:tr>
    </w:tbl>
    <w:p w:rsidR="009316F7" w:rsidRDefault="009316F7" w:rsidP="00DE18A2"/>
    <w:p w:rsidR="00DE18A2" w:rsidRDefault="00110591" w:rsidP="00DE18A2">
      <w:r>
        <w:t>A</w:t>
      </w:r>
      <w:r w:rsidR="00DE18A2" w:rsidRPr="00545F46">
        <w:t xml:space="preserve">z </w:t>
      </w:r>
      <w:r w:rsidR="00DE18A2" w:rsidRPr="00545F46">
        <w:rPr>
          <w:b/>
        </w:rPr>
        <w:t>átvett pénzeszközöket</w:t>
      </w:r>
      <w:r w:rsidR="00DE18A2" w:rsidRPr="00545F46">
        <w:t xml:space="preserve"> a melléklet </w:t>
      </w:r>
      <w:r w:rsidR="00DE18A2" w:rsidRPr="00DD77AC">
        <w:rPr>
          <w:i/>
        </w:rPr>
        <w:t>C jelű táblázata</w:t>
      </w:r>
      <w:r w:rsidR="00DE18A2" w:rsidRPr="00545F46">
        <w:t xml:space="preserve"> sorolja fel tételesen.</w:t>
      </w:r>
      <w:r w:rsidR="00B913E5">
        <w:t xml:space="preserve"> Ahogy korábban is, 2016-ban is a különböző magyar és uniós forrásból megtérített állategészségügyi monitoring és járványügyi vizsgálatok utófinanszírozott térítése jelenti e soron a legnagyobb bevételt. Az átvett pénzek között jelennek meg az egyre szerteágazóbb </w:t>
      </w:r>
      <w:r w:rsidR="004B19AF">
        <w:t xml:space="preserve">szakmai tudást igénylő uniós és </w:t>
      </w:r>
      <w:r w:rsidR="00B913E5">
        <w:t>nemzetközi pály</w:t>
      </w:r>
      <w:r w:rsidR="004B19AF">
        <w:t xml:space="preserve">ázataink, mint </w:t>
      </w:r>
      <w:r w:rsidR="00B913E5">
        <w:t xml:space="preserve">pl. </w:t>
      </w:r>
      <w:proofErr w:type="spellStart"/>
      <w:r w:rsidR="00B913E5">
        <w:t>Firelife</w:t>
      </w:r>
      <w:proofErr w:type="spellEnd"/>
      <w:r w:rsidR="00B913E5">
        <w:t xml:space="preserve"> –</w:t>
      </w:r>
      <w:r w:rsidR="004B19AF">
        <w:t xml:space="preserve"> e</w:t>
      </w:r>
      <w:r w:rsidR="00B913E5">
        <w:t>rdőtűz megelőzés,</w:t>
      </w:r>
      <w:r w:rsidR="004B19AF">
        <w:t xml:space="preserve"> </w:t>
      </w:r>
      <w:proofErr w:type="spellStart"/>
      <w:r w:rsidR="004B19AF">
        <w:t>Wastelife</w:t>
      </w:r>
      <w:proofErr w:type="spellEnd"/>
      <w:r w:rsidR="004B19AF">
        <w:t xml:space="preserve"> – élelmiszerpazarlás elleni fellépés, </w:t>
      </w:r>
      <w:r w:rsidR="004B19AF" w:rsidRPr="004B19AF">
        <w:t>EAVI2020</w:t>
      </w:r>
      <w:r w:rsidR="004B19AF">
        <w:t xml:space="preserve"> –</w:t>
      </w:r>
      <w:r w:rsidR="004B19AF" w:rsidRPr="004B19AF">
        <w:t xml:space="preserve"> </w:t>
      </w:r>
      <w:r w:rsidR="004B19AF">
        <w:t>újgenerációs HIV-</w:t>
      </w:r>
      <w:r w:rsidR="004B19AF" w:rsidRPr="004B19AF">
        <w:t>elleni vakcinák fejlesztése és vizsgálata</w:t>
      </w:r>
      <w:r w:rsidR="004B19AF">
        <w:t>.</w:t>
      </w:r>
      <w:r w:rsidR="00B913E5">
        <w:t xml:space="preserve">   </w:t>
      </w:r>
      <w:r w:rsidR="00DE18A2">
        <w:t xml:space="preserve"> </w:t>
      </w:r>
    </w:p>
    <w:p w:rsidR="00DE18A2" w:rsidRDefault="00DE18A2" w:rsidP="00DE18A2"/>
    <w:p w:rsidR="00DE18A2" w:rsidRDefault="00DE18A2" w:rsidP="00DE18A2">
      <w:r>
        <w:t xml:space="preserve">A </w:t>
      </w:r>
      <w:r w:rsidRPr="00BA0DF2">
        <w:rPr>
          <w:b/>
        </w:rPr>
        <w:t>felhalmozási bevételek</w:t>
      </w:r>
      <w:r>
        <w:t xml:space="preserve"> között többnyire selejtezett gépek, valamint a gépjármű értékesítés bevétele jelenik meg. Az adat korábbi évekkel történő összehasonlítása nem lehetséges</w:t>
      </w:r>
      <w:r w:rsidR="004B19AF">
        <w:t>, az összeg nagyságrendileg nem jelentős.</w:t>
      </w:r>
      <w:r>
        <w:t xml:space="preserve">   </w:t>
      </w:r>
    </w:p>
    <w:p w:rsidR="00DE18A2" w:rsidRDefault="00DE18A2" w:rsidP="00DE18A2"/>
    <w:p w:rsidR="005031D5" w:rsidRDefault="004E43AC" w:rsidP="00DE18A2">
      <w:pPr>
        <w:rPr>
          <w:color w:val="000000"/>
        </w:rPr>
      </w:pPr>
      <w:r>
        <w:rPr>
          <w:color w:val="000000"/>
        </w:rPr>
        <w:t>2015</w:t>
      </w:r>
      <w:r w:rsidR="00DE18A2" w:rsidRPr="00405A2C">
        <w:rPr>
          <w:color w:val="000000"/>
        </w:rPr>
        <w:t xml:space="preserve">. évi egységes kérelem keretében az </w:t>
      </w:r>
      <w:r w:rsidR="00DE18A2" w:rsidRPr="005A6E7E">
        <w:rPr>
          <w:b/>
          <w:color w:val="000000"/>
        </w:rPr>
        <w:t>egységes területalapú támogatás</w:t>
      </w:r>
      <w:r w:rsidR="00DE18A2" w:rsidRPr="00405A2C">
        <w:rPr>
          <w:color w:val="000000"/>
        </w:rPr>
        <w:t xml:space="preserve"> (SAPS) jogcím</w:t>
      </w:r>
      <w:r w:rsidR="00DE18A2">
        <w:rPr>
          <w:color w:val="000000"/>
        </w:rPr>
        <w:t xml:space="preserve">re 49.229 </w:t>
      </w:r>
      <w:r w:rsidR="004C165D">
        <w:rPr>
          <w:color w:val="000000"/>
        </w:rPr>
        <w:t>ezer Ft</w:t>
      </w:r>
      <w:r w:rsidR="00DE18A2">
        <w:rPr>
          <w:color w:val="000000"/>
        </w:rPr>
        <w:t>-ot hagyott jóvá 716,23</w:t>
      </w:r>
      <w:r w:rsidR="00DE18A2" w:rsidRPr="00405A2C">
        <w:rPr>
          <w:color w:val="000000"/>
        </w:rPr>
        <w:t xml:space="preserve"> </w:t>
      </w:r>
      <w:proofErr w:type="spellStart"/>
      <w:r w:rsidR="00DE18A2" w:rsidRPr="00405A2C">
        <w:rPr>
          <w:color w:val="000000"/>
        </w:rPr>
        <w:t>ha-ra</w:t>
      </w:r>
      <w:proofErr w:type="spellEnd"/>
      <w:r w:rsidR="00DE18A2" w:rsidRPr="00405A2C">
        <w:rPr>
          <w:color w:val="000000"/>
        </w:rPr>
        <w:t xml:space="preserve"> az </w:t>
      </w:r>
      <w:r w:rsidR="00766B20">
        <w:rPr>
          <w:color w:val="000000"/>
        </w:rPr>
        <w:t>MVH, melyből 24.</w:t>
      </w:r>
      <w:r w:rsidR="00DE18A2">
        <w:rPr>
          <w:color w:val="000000"/>
        </w:rPr>
        <w:t xml:space="preserve">657 </w:t>
      </w:r>
      <w:r w:rsidR="004C165D">
        <w:rPr>
          <w:color w:val="000000"/>
        </w:rPr>
        <w:t>ezer Ft</w:t>
      </w:r>
      <w:r w:rsidR="00DE18A2">
        <w:rPr>
          <w:color w:val="000000"/>
        </w:rPr>
        <w:t xml:space="preserve"> 2016-ban került jóváírásra. </w:t>
      </w:r>
      <w:r>
        <w:rPr>
          <w:color w:val="000000"/>
        </w:rPr>
        <w:t>ÚMVP, HOP és Technikai S</w:t>
      </w:r>
      <w:r w:rsidR="00766B20">
        <w:rPr>
          <w:color w:val="000000"/>
        </w:rPr>
        <w:t xml:space="preserve">egítségnyújtás bevétele a </w:t>
      </w:r>
      <w:proofErr w:type="spellStart"/>
      <w:r w:rsidR="00766B20">
        <w:rPr>
          <w:color w:val="000000"/>
        </w:rPr>
        <w:t>NÉBIH-</w:t>
      </w:r>
      <w:r>
        <w:rPr>
          <w:color w:val="000000"/>
        </w:rPr>
        <w:t>nek</w:t>
      </w:r>
      <w:proofErr w:type="spellEnd"/>
      <w:r>
        <w:rPr>
          <w:color w:val="000000"/>
        </w:rPr>
        <w:t xml:space="preserve"> 2016-ban nem volt.</w:t>
      </w:r>
    </w:p>
    <w:p w:rsidR="009D6AC0" w:rsidRDefault="009D6AC0" w:rsidP="00DE18A2">
      <w:pPr>
        <w:rPr>
          <w:color w:val="000000"/>
        </w:rPr>
      </w:pPr>
    </w:p>
    <w:p w:rsidR="009D6AC0" w:rsidRDefault="009D6AC0" w:rsidP="00DE18A2">
      <w:pPr>
        <w:rPr>
          <w:color w:val="000000"/>
        </w:rPr>
      </w:pPr>
      <w:r>
        <w:t xml:space="preserve">A </w:t>
      </w:r>
      <w:r w:rsidRPr="00A75AA1">
        <w:t>KÖFOP-1.0.0-VEKOP-15-2016-00016 szerződés számú, Intelligens élelmiszerlánc-biztonsági elemző rendszer létrehozása (INTEL) című projekt</w:t>
      </w:r>
      <w:r>
        <w:t xml:space="preserve"> támogatási szerződésnek </w:t>
      </w:r>
      <w:r>
        <w:lastRenderedPageBreak/>
        <w:t xml:space="preserve">végleges jóváhagyására </w:t>
      </w:r>
      <w:proofErr w:type="gramStart"/>
      <w:r>
        <w:t>2016. decemberében</w:t>
      </w:r>
      <w:proofErr w:type="gramEnd"/>
      <w:r>
        <w:t xml:space="preserve"> került sor, s ezzel hatályba lépett a rendszerfejlesztésre a T-System Magyarország </w:t>
      </w:r>
      <w:proofErr w:type="spellStart"/>
      <w:r>
        <w:t>Nyrt.-vel</w:t>
      </w:r>
      <w:proofErr w:type="spellEnd"/>
      <w:r>
        <w:t xml:space="preserve"> (TSM</w:t>
      </w:r>
      <w:r w:rsidR="001A0838">
        <w:t>) megkötött feltételes közbeszer</w:t>
      </w:r>
      <w:r>
        <w:t xml:space="preserve">zési szerződés is. A projektre a Közreműködő Szervezet 50% </w:t>
      </w:r>
      <w:r w:rsidR="001A0838">
        <w:t>előleget, 1.725.295 ezer</w:t>
      </w:r>
      <w:r w:rsidR="001A0838" w:rsidRPr="001A0838">
        <w:t xml:space="preserve"> Ft</w:t>
      </w:r>
      <w:r w:rsidR="001A0838">
        <w:t>-ot utalt át közvetlenül a TSM részre, amelyet a NÉBIH-nél felhalmozási célú támogatási bevételként kell nyilvántartani 2016. évre.</w:t>
      </w:r>
    </w:p>
    <w:p w:rsidR="005031D5" w:rsidRDefault="005031D5" w:rsidP="00DE18A2">
      <w:pPr>
        <w:rPr>
          <w:color w:val="000000"/>
        </w:rPr>
      </w:pPr>
    </w:p>
    <w:p w:rsidR="00766B20" w:rsidRDefault="00DE18A2" w:rsidP="00DE18A2">
      <w:r>
        <w:t xml:space="preserve">A </w:t>
      </w:r>
      <w:r w:rsidR="00766B20">
        <w:t xml:space="preserve">sávos felügyeleti díj bevezetése miatt a </w:t>
      </w:r>
      <w:r>
        <w:t xml:space="preserve">Hivatal </w:t>
      </w:r>
      <w:r w:rsidRPr="00B85AFB">
        <w:rPr>
          <w:b/>
        </w:rPr>
        <w:t>költségvetési támogatása</w:t>
      </w:r>
      <w:r>
        <w:t xml:space="preserve"> </w:t>
      </w:r>
      <w:r w:rsidR="00766B20">
        <w:t xml:space="preserve">a </w:t>
      </w:r>
      <w:r>
        <w:t>2015.</w:t>
      </w:r>
      <w:r w:rsidR="00766B20">
        <w:t xml:space="preserve"> és 2016. évi</w:t>
      </w:r>
      <w:r>
        <w:t xml:space="preserve"> évi költségveté</w:t>
      </w:r>
      <w:r w:rsidR="00766B20">
        <w:t>si törvény szerint megszűnt, a kieső bevételt 2015-ben fel nem használt maradványok átcsoportosítása, 2016-ban a költségvetési törvény módosításával</w:t>
      </w:r>
      <w:r w:rsidR="00004BA4">
        <w:t xml:space="preserve"> 4,7 Mrd</w:t>
      </w:r>
      <w:r w:rsidR="00766B20">
        <w:t xml:space="preserve"> póttámogatás biztosította. Ezzel </w:t>
      </w:r>
      <w:r w:rsidR="00766B20" w:rsidRPr="00B552DE">
        <w:rPr>
          <w:b/>
        </w:rPr>
        <w:t>a NÉBIH költségvetési támogatása visszaállt a 2014. évi szintre</w:t>
      </w:r>
      <w:r w:rsidR="00004BA4">
        <w:t>.</w:t>
      </w:r>
      <w:r w:rsidR="00D32AEF">
        <w:t xml:space="preserve"> </w:t>
      </w:r>
      <w:r w:rsidR="00004BA4">
        <w:t>A</w:t>
      </w:r>
      <w:r w:rsidR="001D07E4">
        <w:t>z adatok a 2015. évvel</w:t>
      </w:r>
      <w:r w:rsidR="005031D5">
        <w:t xml:space="preserve"> nem összehasonlíthatóak.</w:t>
      </w:r>
      <w:r w:rsidR="00766B20">
        <w:t xml:space="preserve"> </w:t>
      </w:r>
      <w:r w:rsidR="00D32AEF">
        <w:t xml:space="preserve">A költségvetési támogatás aránya a NÉBIH forrásai közt </w:t>
      </w:r>
      <w:r w:rsidR="0069129A">
        <w:t>mindösszesen 21,8</w:t>
      </w:r>
      <w:r w:rsidR="00D32AEF">
        <w:t xml:space="preserve"> %-os; az INTEL projekt egyszeri bevételi hatását leszámítva is csak </w:t>
      </w:r>
      <w:r w:rsidR="0069129A" w:rsidRPr="00B552DE">
        <w:rPr>
          <w:b/>
        </w:rPr>
        <w:t>23,6%-os</w:t>
      </w:r>
      <w:r w:rsidR="0069129A">
        <w:t>.</w:t>
      </w:r>
    </w:p>
    <w:p w:rsidR="00766B20" w:rsidRDefault="00766B20" w:rsidP="00DE18A2"/>
    <w:p w:rsidR="00DE18A2" w:rsidRDefault="00766B20" w:rsidP="00DE18A2">
      <w:r>
        <w:t xml:space="preserve">Fejezeti hatáskörben 129,1 millió Ft elvonás történt </w:t>
      </w:r>
      <w:proofErr w:type="gramStart"/>
      <w:r>
        <w:t>2016. decemberében</w:t>
      </w:r>
      <w:proofErr w:type="gramEnd"/>
      <w:r>
        <w:t xml:space="preserve">.  </w:t>
      </w:r>
      <w:r w:rsidR="00DE18A2">
        <w:t xml:space="preserve"> </w:t>
      </w:r>
    </w:p>
    <w:p w:rsidR="00DE18A2" w:rsidRDefault="00DE18A2" w:rsidP="00DE18A2"/>
    <w:tbl>
      <w:tblPr>
        <w:tblW w:w="88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4"/>
      </w:tblGrid>
      <w:tr w:rsidR="00DE18A2" w:rsidRPr="007F19D3" w:rsidTr="00DE18A2">
        <w:trPr>
          <w:trHeight w:val="255"/>
        </w:trPr>
        <w:tc>
          <w:tcPr>
            <w:tcW w:w="8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8A2" w:rsidRDefault="00DE18A2" w:rsidP="00DE18A2">
            <w:pPr>
              <w:jc w:val="center"/>
              <w:rPr>
                <w:color w:val="000000"/>
                <w:u w:val="single"/>
              </w:rPr>
            </w:pPr>
            <w:r w:rsidRPr="007F19D3">
              <w:rPr>
                <w:color w:val="000000"/>
                <w:u w:val="single"/>
              </w:rPr>
              <w:t>A költségvetési támogatás alakulása 201</w:t>
            </w:r>
            <w:r w:rsidR="0069129A" w:rsidRPr="007F19D3">
              <w:rPr>
                <w:color w:val="000000"/>
                <w:u w:val="single"/>
              </w:rPr>
              <w:t>4</w:t>
            </w:r>
            <w:r w:rsidRPr="007F19D3">
              <w:rPr>
                <w:color w:val="000000"/>
                <w:u w:val="single"/>
              </w:rPr>
              <w:t>-201</w:t>
            </w:r>
            <w:r w:rsidR="0069129A" w:rsidRPr="007F19D3">
              <w:rPr>
                <w:color w:val="000000"/>
                <w:u w:val="single"/>
              </w:rPr>
              <w:t>6</w:t>
            </w:r>
            <w:r w:rsidRPr="007F19D3">
              <w:rPr>
                <w:color w:val="000000"/>
                <w:u w:val="single"/>
              </w:rPr>
              <w:t>. között</w:t>
            </w:r>
          </w:p>
          <w:p w:rsidR="00AA0369" w:rsidRPr="007F19D3" w:rsidRDefault="00AA0369" w:rsidP="00DE18A2">
            <w:pPr>
              <w:jc w:val="center"/>
              <w:rPr>
                <w:color w:val="000000"/>
                <w:u w:val="single"/>
              </w:rPr>
            </w:pPr>
          </w:p>
        </w:tc>
      </w:tr>
    </w:tbl>
    <w:p w:rsidR="00DE18A2" w:rsidRPr="00AA0369" w:rsidRDefault="00AA0369" w:rsidP="00DE18A2">
      <w:pPr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proofErr w:type="gramStart"/>
      <w:r>
        <w:rPr>
          <w:i/>
          <w:sz w:val="20"/>
          <w:szCs w:val="20"/>
        </w:rPr>
        <w:t>adatok</w:t>
      </w:r>
      <w:proofErr w:type="gramEnd"/>
      <w:r>
        <w:rPr>
          <w:i/>
          <w:sz w:val="20"/>
          <w:szCs w:val="20"/>
        </w:rPr>
        <w:t xml:space="preserve"> ezer Ft-ban</w:t>
      </w:r>
    </w:p>
    <w:tbl>
      <w:tblPr>
        <w:tblW w:w="8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469"/>
        <w:gridCol w:w="1469"/>
        <w:gridCol w:w="1322"/>
      </w:tblGrid>
      <w:tr w:rsidR="00DE18A2" w:rsidRPr="007F19D3" w:rsidTr="007F19D3">
        <w:trPr>
          <w:trHeight w:val="600"/>
          <w:tblHeader/>
          <w:jc w:val="center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18A2" w:rsidRPr="007F19D3" w:rsidRDefault="00DE18A2" w:rsidP="00DE18A2">
            <w:pPr>
              <w:jc w:val="center"/>
              <w:rPr>
                <w:color w:val="000000"/>
              </w:rPr>
            </w:pPr>
            <w:r w:rsidRPr="007F19D3">
              <w:rPr>
                <w:color w:val="000000"/>
              </w:rPr>
              <w:t>A felhasználás célja</w:t>
            </w:r>
          </w:p>
        </w:tc>
        <w:tc>
          <w:tcPr>
            <w:tcW w:w="4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E18A2" w:rsidRPr="007F19D3" w:rsidRDefault="00DE18A2" w:rsidP="00AA0369">
            <w:pPr>
              <w:jc w:val="center"/>
              <w:rPr>
                <w:color w:val="000000"/>
              </w:rPr>
            </w:pPr>
            <w:r w:rsidRPr="007F19D3">
              <w:rPr>
                <w:color w:val="000000"/>
              </w:rPr>
              <w:t>Előirányzat módosítás összege</w:t>
            </w:r>
          </w:p>
        </w:tc>
      </w:tr>
      <w:tr w:rsidR="00DE18A2" w:rsidRPr="007F19D3" w:rsidTr="007F19D3">
        <w:trPr>
          <w:trHeight w:val="600"/>
          <w:tblHeader/>
          <w:jc w:val="center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18A2" w:rsidRPr="007F19D3" w:rsidRDefault="00DE18A2" w:rsidP="00DE18A2">
            <w:pPr>
              <w:jc w:val="center"/>
              <w:rPr>
                <w:color w:val="000000"/>
              </w:rPr>
            </w:pPr>
            <w:r w:rsidRPr="007F19D3">
              <w:rPr>
                <w:color w:val="000000"/>
              </w:rPr>
              <w:t xml:space="preserve">2014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18A2" w:rsidRPr="007F19D3" w:rsidRDefault="00DE18A2" w:rsidP="00DE18A2">
            <w:pPr>
              <w:jc w:val="center"/>
              <w:rPr>
                <w:color w:val="000000"/>
              </w:rPr>
            </w:pPr>
            <w:r w:rsidRPr="007F19D3">
              <w:rPr>
                <w:color w:val="000000"/>
              </w:rPr>
              <w:t xml:space="preserve">2015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E18A2" w:rsidRPr="007F19D3" w:rsidRDefault="00DE18A2" w:rsidP="00DE18A2">
            <w:pPr>
              <w:jc w:val="center"/>
              <w:rPr>
                <w:color w:val="000000"/>
              </w:rPr>
            </w:pPr>
            <w:r w:rsidRPr="007F19D3">
              <w:rPr>
                <w:color w:val="000000"/>
              </w:rPr>
              <w:t xml:space="preserve">2016 </w:t>
            </w: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Eredeti költségvetés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4 699 100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0</w:t>
            </w: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Bérkompenzáció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45 188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41 552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35 865</w:t>
            </w: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Prémiumévek Program finanszírozása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43 821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35 162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24 103</w:t>
            </w:r>
          </w:p>
        </w:tc>
      </w:tr>
      <w:tr w:rsidR="00DE18A2" w:rsidRPr="007F19D3" w:rsidTr="007F19D3">
        <w:trPr>
          <w:trHeight w:val="303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7F19D3" w:rsidRDefault="009E73B6" w:rsidP="009E73B6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Költségvetési törvény módosításával biztosított t</w:t>
            </w:r>
            <w:r w:rsidR="00DE18A2" w:rsidRPr="007F19D3">
              <w:rPr>
                <w:color w:val="000000"/>
              </w:rPr>
              <w:t>ámogatás (</w:t>
            </w:r>
            <w:r w:rsidRPr="007F19D3">
              <w:rPr>
                <w:color w:val="000000"/>
              </w:rPr>
              <w:t>sávos felügyeleti díj kivezetése</w:t>
            </w:r>
            <w:r w:rsidR="00DE18A2" w:rsidRPr="007F19D3">
              <w:rPr>
                <w:color w:val="000000"/>
              </w:rPr>
              <w:t xml:space="preserve"> miatt)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4 700 000</w:t>
            </w:r>
          </w:p>
        </w:tc>
      </w:tr>
      <w:tr w:rsidR="00DE18A2" w:rsidRPr="007F19D3" w:rsidTr="007F19D3">
        <w:trPr>
          <w:trHeight w:val="303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Erdészeti kiadvány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 9 290</w:t>
            </w: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OTKA pályázatok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5 277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 </w:t>
            </w:r>
          </w:p>
        </w:tc>
      </w:tr>
      <w:tr w:rsidR="00DE18A2" w:rsidRPr="007F19D3" w:rsidTr="007F19D3">
        <w:trPr>
          <w:trHeight w:val="54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Időjárási kockázatkezelési rendszer működtetése</w:t>
            </w:r>
            <w:r w:rsidRPr="007F19D3">
              <w:rPr>
                <w:color w:val="000000"/>
              </w:rPr>
              <w:br/>
              <w:t>és fejlesztése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23 745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45 040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40 000</w:t>
            </w: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9E73B6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MVH delegált feladatok támogatása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458 571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247 244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138 565</w:t>
            </w: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Parlagfű Bejelentő Rendszer működtetése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4 000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4 000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4 000</w:t>
            </w: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8A2" w:rsidRPr="007F19D3" w:rsidRDefault="00766B20" w:rsidP="00DE18A2">
            <w:pPr>
              <w:jc w:val="left"/>
            </w:pPr>
            <w:r w:rsidRPr="007F19D3">
              <w:t>FM konyhával kapcsolatos egyszeri kifizetés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15 429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</w:p>
        </w:tc>
      </w:tr>
      <w:tr w:rsidR="00DE18A2" w:rsidRPr="007F19D3" w:rsidTr="007F19D3">
        <w:trPr>
          <w:trHeight w:val="30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8A2" w:rsidRPr="007F19D3" w:rsidRDefault="00766B20" w:rsidP="00DE18A2">
            <w:pPr>
              <w:jc w:val="left"/>
            </w:pPr>
            <w:r w:rsidRPr="007F19D3">
              <w:t>Sertéságazat</w:t>
            </w:r>
            <w:r w:rsidR="00DE18A2" w:rsidRPr="007F19D3">
              <w:t xml:space="preserve"> informatikai fejlesztése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30 000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61 000</w:t>
            </w:r>
          </w:p>
        </w:tc>
      </w:tr>
      <w:tr w:rsidR="00DE18A2" w:rsidRPr="007F19D3" w:rsidTr="007F19D3">
        <w:trPr>
          <w:trHeight w:val="70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7F19D3" w:rsidP="007F19D3">
            <w:pPr>
              <w:jc w:val="left"/>
              <w:rPr>
                <w:color w:val="000000"/>
              </w:rPr>
            </w:pPr>
            <w:r w:rsidRPr="007F19D3">
              <w:rPr>
                <w:color w:val="000000"/>
              </w:rPr>
              <w:t>T</w:t>
            </w:r>
            <w:r w:rsidR="00DE18A2" w:rsidRPr="007F19D3">
              <w:rPr>
                <w:color w:val="000000"/>
              </w:rPr>
              <w:t>ámogatás elvonás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-613 500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-150 000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8A2" w:rsidRPr="007F19D3" w:rsidRDefault="00DE18A2" w:rsidP="00DE18A2">
            <w:pPr>
              <w:jc w:val="right"/>
              <w:rPr>
                <w:color w:val="000000"/>
              </w:rPr>
            </w:pPr>
            <w:r w:rsidRPr="007F19D3">
              <w:rPr>
                <w:color w:val="000000"/>
              </w:rPr>
              <w:t>-129 100</w:t>
            </w:r>
          </w:p>
        </w:tc>
      </w:tr>
      <w:tr w:rsidR="00DE18A2" w:rsidRPr="007F19D3" w:rsidTr="007F19D3">
        <w:trPr>
          <w:trHeight w:val="255"/>
          <w:jc w:val="center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E18A2" w:rsidRPr="007F19D3" w:rsidRDefault="00DE18A2" w:rsidP="00DE18A2">
            <w:pPr>
              <w:jc w:val="center"/>
              <w:rPr>
                <w:b/>
                <w:bCs/>
                <w:color w:val="000000"/>
              </w:rPr>
            </w:pPr>
            <w:r w:rsidRPr="007F19D3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E18A2" w:rsidRPr="007F19D3" w:rsidRDefault="00DE18A2" w:rsidP="00DE18A2">
            <w:pPr>
              <w:jc w:val="right"/>
              <w:rPr>
                <w:b/>
                <w:bCs/>
                <w:color w:val="000000"/>
              </w:rPr>
            </w:pPr>
            <w:r w:rsidRPr="007F19D3">
              <w:rPr>
                <w:b/>
                <w:bCs/>
                <w:color w:val="000000"/>
              </w:rPr>
              <w:t>4 868 040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E18A2" w:rsidRPr="007F19D3" w:rsidRDefault="005031D5" w:rsidP="00DE18A2">
            <w:pPr>
              <w:jc w:val="right"/>
              <w:rPr>
                <w:b/>
                <w:bCs/>
                <w:color w:val="000000"/>
              </w:rPr>
            </w:pPr>
            <w:r w:rsidRPr="007F19D3">
              <w:rPr>
                <w:b/>
                <w:bCs/>
                <w:color w:val="000000"/>
              </w:rPr>
              <w:t>273 927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E18A2" w:rsidRPr="007F19D3" w:rsidRDefault="00DE18A2" w:rsidP="00DE18A2">
            <w:pPr>
              <w:jc w:val="right"/>
              <w:rPr>
                <w:b/>
                <w:bCs/>
                <w:color w:val="000000"/>
              </w:rPr>
            </w:pPr>
            <w:r w:rsidRPr="007F19D3">
              <w:rPr>
                <w:b/>
                <w:bCs/>
                <w:color w:val="000000"/>
              </w:rPr>
              <w:t>4 883 723</w:t>
            </w:r>
          </w:p>
        </w:tc>
      </w:tr>
    </w:tbl>
    <w:p w:rsidR="00B01EE3" w:rsidRDefault="00B01EE3" w:rsidP="00B01EE3">
      <w:pPr>
        <w:pStyle w:val="Standard"/>
        <w:jc w:val="both"/>
        <w:rPr>
          <w:rFonts w:cs="Times New Roman"/>
        </w:rPr>
      </w:pPr>
    </w:p>
    <w:p w:rsidR="001D07E4" w:rsidRDefault="001D07E4">
      <w:pPr>
        <w:jc w:val="left"/>
        <w:rPr>
          <w:rFonts w:eastAsia="Arial Unicode MS"/>
          <w:kern w:val="3"/>
        </w:rPr>
      </w:pPr>
      <w:r>
        <w:br w:type="page"/>
      </w:r>
    </w:p>
    <w:p w:rsidR="00B01EE3" w:rsidRPr="00B01EE3" w:rsidRDefault="00B01EE3" w:rsidP="00B01EE3">
      <w:pPr>
        <w:pStyle w:val="Standard"/>
        <w:jc w:val="both"/>
        <w:rPr>
          <w:rFonts w:cs="Times New Roman"/>
        </w:rPr>
      </w:pPr>
      <w:r w:rsidRPr="00B01EE3">
        <w:rPr>
          <w:rFonts w:cs="Times New Roman"/>
        </w:rPr>
        <w:lastRenderedPageBreak/>
        <w:t>A Hivatal által nyilvántartott</w:t>
      </w:r>
      <w:r>
        <w:rPr>
          <w:rFonts w:cs="Times New Roman"/>
        </w:rPr>
        <w:t xml:space="preserve"> és kezelt</w:t>
      </w:r>
      <w:r w:rsidRPr="00B01EE3">
        <w:rPr>
          <w:rFonts w:cs="Times New Roman"/>
        </w:rPr>
        <w:t xml:space="preserve"> teljes </w:t>
      </w:r>
      <w:r w:rsidRPr="00B01EE3">
        <w:rPr>
          <w:rFonts w:cs="Times New Roman"/>
          <w:b/>
        </w:rPr>
        <w:t>követelésállomány</w:t>
      </w:r>
      <w:r w:rsidRPr="00B01EE3">
        <w:rPr>
          <w:rFonts w:cs="Times New Roman"/>
        </w:rPr>
        <w:t xml:space="preserve"> </w:t>
      </w:r>
      <w:r>
        <w:rPr>
          <w:rFonts w:cs="Times New Roman"/>
        </w:rPr>
        <w:t xml:space="preserve">összetétele </w:t>
      </w:r>
      <w:r w:rsidRPr="00B01EE3">
        <w:rPr>
          <w:rFonts w:cs="Times New Roman"/>
        </w:rPr>
        <w:t>bruttó értékben:</w:t>
      </w:r>
    </w:p>
    <w:p w:rsidR="00B01EE3" w:rsidRDefault="00B01EE3" w:rsidP="00B01EE3">
      <w:pPr>
        <w:pStyle w:val="Standard"/>
        <w:numPr>
          <w:ilvl w:val="0"/>
          <w:numId w:val="21"/>
        </w:numPr>
        <w:jc w:val="both"/>
        <w:rPr>
          <w:rFonts w:cs="Times New Roman"/>
        </w:rPr>
      </w:pPr>
      <w:r w:rsidRPr="00B01EE3">
        <w:rPr>
          <w:rFonts w:cs="Times New Roman"/>
        </w:rPr>
        <w:t>1.082.533 e</w:t>
      </w:r>
      <w:r>
        <w:rPr>
          <w:rFonts w:cs="Times New Roman"/>
        </w:rPr>
        <w:t>zer</w:t>
      </w:r>
      <w:r w:rsidRPr="00B01EE3">
        <w:rPr>
          <w:rFonts w:cs="Times New Roman"/>
        </w:rPr>
        <w:t xml:space="preserve"> Ft összegű</w:t>
      </w:r>
      <w:r>
        <w:rPr>
          <w:rFonts w:cs="Times New Roman"/>
        </w:rPr>
        <w:t>, a központi költségvetést megillető bírság</w:t>
      </w:r>
      <w:r w:rsidRPr="00B01EE3">
        <w:rPr>
          <w:rFonts w:cs="Times New Roman"/>
        </w:rPr>
        <w:t>,</w:t>
      </w:r>
    </w:p>
    <w:p w:rsidR="00B01EE3" w:rsidRPr="00B01EE3" w:rsidRDefault="00B01EE3" w:rsidP="00B01EE3">
      <w:pPr>
        <w:pStyle w:val="Standard"/>
        <w:numPr>
          <w:ilvl w:val="0"/>
          <w:numId w:val="21"/>
        </w:numPr>
        <w:jc w:val="both"/>
        <w:rPr>
          <w:rFonts w:cs="Times New Roman"/>
        </w:rPr>
      </w:pPr>
      <w:r w:rsidRPr="00B01EE3">
        <w:rPr>
          <w:rFonts w:cs="Times New Roman"/>
        </w:rPr>
        <w:t>9.168.973 e</w:t>
      </w:r>
      <w:r>
        <w:rPr>
          <w:rFonts w:cs="Times New Roman"/>
        </w:rPr>
        <w:t>zer</w:t>
      </w:r>
      <w:r w:rsidRPr="00B01EE3">
        <w:rPr>
          <w:rFonts w:cs="Times New Roman"/>
        </w:rPr>
        <w:t xml:space="preserve"> Ft összegű</w:t>
      </w:r>
      <w:r>
        <w:rPr>
          <w:rFonts w:cs="Times New Roman"/>
        </w:rPr>
        <w:t xml:space="preserve">, a megyei kormányhivatalokkal </w:t>
      </w:r>
      <w:r w:rsidRPr="00B01EE3">
        <w:rPr>
          <w:rFonts w:cs="Times New Roman"/>
        </w:rPr>
        <w:t xml:space="preserve">megosztandó </w:t>
      </w:r>
      <w:r>
        <w:rPr>
          <w:rFonts w:cs="Times New Roman"/>
        </w:rPr>
        <w:t xml:space="preserve">élelmiszerlánc-felügyeleti díj (a </w:t>
      </w:r>
      <w:proofErr w:type="spellStart"/>
      <w:r>
        <w:rPr>
          <w:rFonts w:cs="Times New Roman"/>
        </w:rPr>
        <w:t>NÉB</w:t>
      </w:r>
      <w:r w:rsidR="001B41D7">
        <w:rPr>
          <w:rFonts w:cs="Times New Roman"/>
        </w:rPr>
        <w:t>IH-et</w:t>
      </w:r>
      <w:proofErr w:type="spellEnd"/>
      <w:r w:rsidR="001B41D7">
        <w:rPr>
          <w:rFonts w:cs="Times New Roman"/>
        </w:rPr>
        <w:t xml:space="preserve"> megillető hányad ebből 46%</w:t>
      </w:r>
      <w:r>
        <w:rPr>
          <w:rFonts w:cs="Times New Roman"/>
        </w:rPr>
        <w:t>)</w:t>
      </w:r>
      <w:r w:rsidRPr="00B01EE3">
        <w:rPr>
          <w:rFonts w:cs="Times New Roman"/>
        </w:rPr>
        <w:t>,</w:t>
      </w:r>
    </w:p>
    <w:p w:rsidR="00B01EE3" w:rsidRDefault="00B01EE3" w:rsidP="00B01EE3">
      <w:pPr>
        <w:pStyle w:val="Standard"/>
        <w:numPr>
          <w:ilvl w:val="0"/>
          <w:numId w:val="21"/>
        </w:numPr>
        <w:jc w:val="both"/>
        <w:rPr>
          <w:rFonts w:cs="Times New Roman"/>
        </w:rPr>
      </w:pPr>
      <w:r w:rsidRPr="00B01EE3">
        <w:rPr>
          <w:rFonts w:cs="Times New Roman"/>
        </w:rPr>
        <w:t>1.465.076</w:t>
      </w:r>
      <w:r>
        <w:rPr>
          <w:rFonts w:cs="Times New Roman"/>
        </w:rPr>
        <w:t xml:space="preserve"> ezer Ft</w:t>
      </w:r>
      <w:r w:rsidRPr="00B01EE3">
        <w:rPr>
          <w:rFonts w:cs="Times New Roman"/>
        </w:rPr>
        <w:t xml:space="preserve"> </w:t>
      </w:r>
      <w:r>
        <w:rPr>
          <w:rFonts w:cs="Times New Roman"/>
        </w:rPr>
        <w:t>felügyeleti díjon felüli egyéb saj</w:t>
      </w:r>
      <w:r w:rsidRPr="00B01EE3">
        <w:rPr>
          <w:rFonts w:cs="Times New Roman"/>
        </w:rPr>
        <w:t>át követelés.</w:t>
      </w:r>
    </w:p>
    <w:p w:rsidR="00D32AEF" w:rsidRDefault="00D32AEF" w:rsidP="00D32AEF">
      <w:pPr>
        <w:pStyle w:val="Standard"/>
        <w:jc w:val="both"/>
        <w:rPr>
          <w:rFonts w:cs="Times New Roman"/>
        </w:rPr>
      </w:pPr>
      <w:r>
        <w:rPr>
          <w:rFonts w:cs="Times New Roman"/>
        </w:rPr>
        <w:t>A teljes, nyilvántartott követelés 48,5%-</w:t>
      </w:r>
      <w:proofErr w:type="gramStart"/>
      <w:r>
        <w:rPr>
          <w:rFonts w:cs="Times New Roman"/>
        </w:rPr>
        <w:t>a</w:t>
      </w:r>
      <w:proofErr w:type="gramEnd"/>
      <w:r>
        <w:rPr>
          <w:rFonts w:cs="Times New Roman"/>
        </w:rPr>
        <w:t xml:space="preserve"> illeti meg a </w:t>
      </w:r>
      <w:proofErr w:type="spellStart"/>
      <w:r>
        <w:rPr>
          <w:rFonts w:cs="Times New Roman"/>
        </w:rPr>
        <w:t>NÉBIH-et</w:t>
      </w:r>
      <w:proofErr w:type="spellEnd"/>
      <w:r>
        <w:rPr>
          <w:rFonts w:cs="Times New Roman"/>
        </w:rPr>
        <w:t>.</w:t>
      </w:r>
    </w:p>
    <w:p w:rsidR="00B01EE3" w:rsidRDefault="00B01EE3" w:rsidP="00B01EE3">
      <w:pPr>
        <w:pStyle w:val="Standard"/>
        <w:jc w:val="both"/>
        <w:rPr>
          <w:rFonts w:cs="Times New Roman"/>
        </w:rPr>
      </w:pPr>
    </w:p>
    <w:p w:rsidR="00B01EE3" w:rsidRPr="00B01EE3" w:rsidRDefault="00B01EE3" w:rsidP="001D07E4">
      <w:pPr>
        <w:pStyle w:val="Standard"/>
        <w:jc w:val="both"/>
        <w:rPr>
          <w:rFonts w:cs="Times New Roman"/>
        </w:rPr>
      </w:pPr>
      <w:r>
        <w:rPr>
          <w:rFonts w:cs="Times New Roman"/>
        </w:rPr>
        <w:t>A</w:t>
      </w:r>
      <w:r w:rsidR="00D32AEF">
        <w:rPr>
          <w:rFonts w:cs="Times New Roman"/>
        </w:rPr>
        <w:t xml:space="preserve"> bruttó összegében legjelentősebb</w:t>
      </w:r>
      <w:r>
        <w:rPr>
          <w:rFonts w:cs="Times New Roman"/>
        </w:rPr>
        <w:t xml:space="preserve"> felügyeleti díj követelés nagyobb része nem lejárt követelés, hiszen a 2016. évi bevallások második részletének befizetési határideje 2017. január 31.</w:t>
      </w:r>
    </w:p>
    <w:p w:rsidR="00B01EE3" w:rsidRPr="00B01EE3" w:rsidRDefault="00B01EE3" w:rsidP="00B01EE3">
      <w:pPr>
        <w:pStyle w:val="Standard"/>
        <w:jc w:val="both"/>
        <w:rPr>
          <w:rFonts w:cs="Times New Roman"/>
        </w:rPr>
      </w:pPr>
    </w:p>
    <w:p w:rsidR="00B01EE3" w:rsidRPr="00B01EE3" w:rsidRDefault="00B01EE3" w:rsidP="00B01EE3">
      <w:pPr>
        <w:pStyle w:val="Standard"/>
        <w:jc w:val="both"/>
        <w:rPr>
          <w:rFonts w:cs="Times New Roman"/>
        </w:rPr>
      </w:pPr>
      <w:r w:rsidRPr="00B01EE3">
        <w:rPr>
          <w:rFonts w:cs="Times New Roman"/>
        </w:rPr>
        <w:t>A</w:t>
      </w:r>
      <w:r>
        <w:rPr>
          <w:rFonts w:cs="Times New Roman"/>
        </w:rPr>
        <w:t xml:space="preserve"> NÉBIH</w:t>
      </w:r>
      <w:r w:rsidRPr="00B01EE3">
        <w:rPr>
          <w:rFonts w:cs="Times New Roman"/>
        </w:rPr>
        <w:t xml:space="preserve"> saját követeléseken belül a nyitó és záró követelésállomány megoszlása az alábbi:</w:t>
      </w:r>
    </w:p>
    <w:p w:rsidR="00B01EE3" w:rsidRDefault="00B01EE3" w:rsidP="00B01EE3">
      <w:pPr>
        <w:pStyle w:val="Standard"/>
        <w:jc w:val="both"/>
        <w:rPr>
          <w:rFonts w:cs="Times New Roman"/>
        </w:rPr>
      </w:pPr>
    </w:p>
    <w:p w:rsidR="00126E5D" w:rsidRPr="00126E5D" w:rsidRDefault="00126E5D" w:rsidP="00126E5D">
      <w:pPr>
        <w:pStyle w:val="Standard"/>
        <w:jc w:val="both"/>
        <w:rPr>
          <w:rFonts w:cs="Times New Roman"/>
          <w:i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proofErr w:type="gramStart"/>
      <w:r w:rsidRPr="00126E5D">
        <w:rPr>
          <w:rFonts w:cs="Times New Roman"/>
          <w:i/>
        </w:rPr>
        <w:t>ezer</w:t>
      </w:r>
      <w:proofErr w:type="gramEnd"/>
      <w:r w:rsidRPr="00126E5D">
        <w:rPr>
          <w:rFonts w:cs="Times New Roman"/>
          <w:i/>
        </w:rPr>
        <w:t xml:space="preserve"> Ft</w:t>
      </w: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992"/>
        <w:gridCol w:w="1114"/>
        <w:gridCol w:w="1296"/>
      </w:tblGrid>
      <w:tr w:rsidR="00B01EE3" w:rsidRPr="00B01EE3" w:rsidTr="00D32AEF">
        <w:trPr>
          <w:trHeight w:val="27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01EE3" w:rsidRPr="00B01EE3" w:rsidRDefault="00B01EE3" w:rsidP="00D32AEF">
            <w:pPr>
              <w:ind w:left="356"/>
              <w:jc w:val="center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Megnevezés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01EE3" w:rsidRPr="00B01EE3" w:rsidRDefault="00B01EE3" w:rsidP="00D32AEF">
            <w:pPr>
              <w:jc w:val="center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Nyitó (bruttó)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01EE3" w:rsidRPr="00B01EE3" w:rsidRDefault="00B01EE3" w:rsidP="00D32AEF">
            <w:pPr>
              <w:jc w:val="center"/>
              <w:rPr>
                <w:b/>
                <w:color w:val="000000"/>
              </w:rPr>
            </w:pPr>
            <w:proofErr w:type="gramStart"/>
            <w:r w:rsidRPr="00B01EE3">
              <w:rPr>
                <w:b/>
                <w:color w:val="000000"/>
              </w:rPr>
              <w:t>Záró  (</w:t>
            </w:r>
            <w:proofErr w:type="gramEnd"/>
            <w:r w:rsidRPr="00B01EE3">
              <w:rPr>
                <w:b/>
                <w:color w:val="000000"/>
              </w:rPr>
              <w:t>bruttó)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01EE3" w:rsidRPr="00B01EE3" w:rsidRDefault="00B01EE3" w:rsidP="00D32AEF">
            <w:pPr>
              <w:jc w:val="center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Értékvesztés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01EE3" w:rsidRPr="00B01EE3" w:rsidRDefault="00B01EE3" w:rsidP="00D32AEF">
            <w:pPr>
              <w:jc w:val="center"/>
              <w:rPr>
                <w:b/>
                <w:color w:val="000000"/>
              </w:rPr>
            </w:pPr>
            <w:proofErr w:type="gramStart"/>
            <w:r w:rsidRPr="00B01EE3">
              <w:rPr>
                <w:b/>
                <w:color w:val="000000"/>
              </w:rPr>
              <w:t>Nettó követelés</w:t>
            </w:r>
            <w:proofErr w:type="gramEnd"/>
          </w:p>
        </w:tc>
      </w:tr>
      <w:tr w:rsidR="00B01EE3" w:rsidRPr="00B01EE3" w:rsidTr="00D32AEF">
        <w:trPr>
          <w:trHeight w:val="12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EE3" w:rsidRPr="00B01EE3" w:rsidRDefault="00B01EE3" w:rsidP="00D32AEF">
            <w:pPr>
              <w:ind w:left="356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EE3" w:rsidRPr="00B01EE3" w:rsidRDefault="00B01EE3" w:rsidP="00D32AEF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EE3" w:rsidRPr="00B01EE3" w:rsidRDefault="00B01EE3" w:rsidP="00D32AE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01EE3" w:rsidRPr="00B01EE3" w:rsidRDefault="00B01EE3" w:rsidP="00D32AEF">
            <w:pPr>
              <w:jc w:val="center"/>
              <w:rPr>
                <w:color w:val="000000"/>
              </w:rPr>
            </w:pPr>
            <w:r w:rsidRPr="00B01EE3">
              <w:rPr>
                <w:color w:val="000000"/>
              </w:rPr>
              <w:t>Egyedi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B01EE3" w:rsidRPr="00B01EE3" w:rsidRDefault="00B01EE3" w:rsidP="00D32AEF">
            <w:pPr>
              <w:jc w:val="center"/>
              <w:rPr>
                <w:color w:val="000000"/>
              </w:rPr>
            </w:pPr>
            <w:r w:rsidRPr="00B01EE3">
              <w:rPr>
                <w:color w:val="000000"/>
              </w:rPr>
              <w:t>Csoportos</w:t>
            </w: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EE3" w:rsidRPr="00B01EE3" w:rsidRDefault="00B01EE3" w:rsidP="00D32AEF">
            <w:pPr>
              <w:rPr>
                <w:color w:val="000000"/>
              </w:rPr>
            </w:pPr>
          </w:p>
        </w:tc>
      </w:tr>
      <w:tr w:rsidR="00B01EE3" w:rsidRPr="00B01EE3" w:rsidTr="00D32AEF">
        <w:trPr>
          <w:trHeight w:val="3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01EE3" w:rsidRPr="00B01EE3" w:rsidRDefault="00B01EE3" w:rsidP="00D32AEF">
            <w:pPr>
              <w:ind w:left="356"/>
              <w:jc w:val="left"/>
              <w:rPr>
                <w:color w:val="000000"/>
              </w:rPr>
            </w:pPr>
            <w:r w:rsidRPr="00B01EE3">
              <w:rPr>
                <w:color w:val="000000"/>
              </w:rPr>
              <w:t xml:space="preserve">Közhatalmi bevétel kintlévősége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590 155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596 724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325 948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270 012</w:t>
            </w:r>
          </w:p>
        </w:tc>
      </w:tr>
      <w:tr w:rsidR="00B01EE3" w:rsidRPr="00B01EE3" w:rsidTr="00D32AEF">
        <w:trPr>
          <w:trHeight w:val="2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01EE3" w:rsidRPr="00B01EE3" w:rsidRDefault="00B01EE3" w:rsidP="00D32AEF">
            <w:pPr>
              <w:ind w:left="356"/>
              <w:jc w:val="left"/>
              <w:rPr>
                <w:color w:val="000000"/>
              </w:rPr>
            </w:pPr>
            <w:r w:rsidRPr="00B01EE3">
              <w:rPr>
                <w:color w:val="000000"/>
              </w:rPr>
              <w:t>Felügyeleti-díj</w:t>
            </w:r>
          </w:p>
          <w:p w:rsidR="00B01EE3" w:rsidRPr="00B01EE3" w:rsidRDefault="00B01EE3" w:rsidP="001B41D7">
            <w:pPr>
              <w:ind w:left="356"/>
              <w:jc w:val="left"/>
              <w:rPr>
                <w:color w:val="000000"/>
              </w:rPr>
            </w:pPr>
            <w:r w:rsidRPr="00B01EE3">
              <w:rPr>
                <w:color w:val="000000"/>
              </w:rPr>
              <w:t>(</w:t>
            </w:r>
            <w:proofErr w:type="spellStart"/>
            <w:r w:rsidRPr="00B01EE3">
              <w:rPr>
                <w:color w:val="000000"/>
              </w:rPr>
              <w:t>NÉBIH-et</w:t>
            </w:r>
            <w:proofErr w:type="spellEnd"/>
            <w:r w:rsidRPr="00B01EE3">
              <w:rPr>
                <w:color w:val="000000"/>
              </w:rPr>
              <w:t xml:space="preserve"> illető </w:t>
            </w:r>
            <w:r w:rsidR="001B41D7">
              <w:rPr>
                <w:color w:val="000000"/>
              </w:rPr>
              <w:t>46%</w:t>
            </w:r>
            <w:r w:rsidRPr="00B01EE3">
              <w:rPr>
                <w:color w:val="000000"/>
              </w:rPr>
              <w:t>) kintlévősége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3 926 735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 xml:space="preserve">4 218 061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504 880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3 713181</w:t>
            </w:r>
          </w:p>
        </w:tc>
      </w:tr>
      <w:tr w:rsidR="00B01EE3" w:rsidRPr="00B01EE3" w:rsidTr="00D32AEF">
        <w:trPr>
          <w:trHeight w:val="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01EE3" w:rsidRPr="00B01EE3" w:rsidRDefault="00B01EE3" w:rsidP="00D32AEF">
            <w:pPr>
              <w:ind w:left="356"/>
              <w:jc w:val="left"/>
              <w:rPr>
                <w:color w:val="000000"/>
              </w:rPr>
            </w:pPr>
            <w:r w:rsidRPr="00B01EE3">
              <w:rPr>
                <w:color w:val="000000"/>
              </w:rPr>
              <w:t>Működési bevétel kintlévősége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510 824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473 215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154 758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318 457</w:t>
            </w:r>
          </w:p>
        </w:tc>
      </w:tr>
      <w:tr w:rsidR="00B01EE3" w:rsidRPr="00B01EE3" w:rsidTr="00D32AEF">
        <w:trPr>
          <w:trHeight w:val="2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01EE3" w:rsidRPr="00B01EE3" w:rsidRDefault="00B01EE3" w:rsidP="00D32AEF">
            <w:pPr>
              <w:ind w:left="356"/>
              <w:jc w:val="left"/>
              <w:rPr>
                <w:color w:val="000000"/>
              </w:rPr>
            </w:pPr>
            <w:r w:rsidRPr="00B01EE3">
              <w:rPr>
                <w:color w:val="000000"/>
              </w:rPr>
              <w:t>Felhalmozási bevétel kintlévősége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405 245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395 137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2 659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color w:val="000000"/>
              </w:rPr>
            </w:pPr>
            <w:r w:rsidRPr="00B01EE3">
              <w:rPr>
                <w:color w:val="000000"/>
              </w:rPr>
              <w:t>392 478</w:t>
            </w:r>
          </w:p>
        </w:tc>
      </w:tr>
      <w:tr w:rsidR="00B01EE3" w:rsidRPr="00B01EE3" w:rsidTr="00D32AEF">
        <w:trPr>
          <w:trHeight w:val="36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01EE3" w:rsidRPr="00B01EE3" w:rsidRDefault="00B01EE3" w:rsidP="00D32AEF">
            <w:pPr>
              <w:ind w:left="356"/>
              <w:jc w:val="center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Összesen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</w:p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5 432 959</w:t>
            </w:r>
          </w:p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5 683 137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</w:p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988 245</w:t>
            </w:r>
          </w:p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EE3" w:rsidRPr="00B01EE3" w:rsidRDefault="00B01EE3" w:rsidP="00D32AEF">
            <w:pPr>
              <w:jc w:val="right"/>
              <w:rPr>
                <w:b/>
                <w:color w:val="000000"/>
              </w:rPr>
            </w:pPr>
            <w:r w:rsidRPr="00B01EE3">
              <w:rPr>
                <w:b/>
                <w:color w:val="000000"/>
              </w:rPr>
              <w:t>4 694 892</w:t>
            </w:r>
          </w:p>
        </w:tc>
      </w:tr>
    </w:tbl>
    <w:p w:rsidR="00B01EE3" w:rsidRPr="00B01EE3" w:rsidRDefault="00B01EE3" w:rsidP="00B01EE3">
      <w:pPr>
        <w:pStyle w:val="Standard"/>
        <w:jc w:val="both"/>
        <w:rPr>
          <w:rFonts w:cs="Times New Roman"/>
        </w:rPr>
      </w:pPr>
    </w:p>
    <w:p w:rsidR="00126E5D" w:rsidRDefault="003F785A" w:rsidP="001B41D7">
      <w:pPr>
        <w:pStyle w:val="Standard"/>
        <w:jc w:val="both"/>
        <w:rPr>
          <w:rFonts w:cs="Times New Roman"/>
        </w:rPr>
      </w:pPr>
      <w:r>
        <w:rPr>
          <w:rFonts w:cs="Times New Roman"/>
        </w:rPr>
        <w:t>Fontos azonban hangsúlyozni, hogy a telje</w:t>
      </w:r>
      <w:r w:rsidR="00E73036">
        <w:rPr>
          <w:rFonts w:cs="Times New Roman"/>
        </w:rPr>
        <w:t xml:space="preserve">s </w:t>
      </w:r>
      <w:r>
        <w:rPr>
          <w:rFonts w:cs="Times New Roman"/>
        </w:rPr>
        <w:t xml:space="preserve">nettó követelésállományból </w:t>
      </w:r>
      <w:r w:rsidR="00126E5D">
        <w:rPr>
          <w:rFonts w:cs="Times New Roman"/>
        </w:rPr>
        <w:t xml:space="preserve">csak </w:t>
      </w:r>
      <w:r>
        <w:rPr>
          <w:rFonts w:cs="Times New Roman"/>
        </w:rPr>
        <w:t>29,5%</w:t>
      </w:r>
      <w:proofErr w:type="gramStart"/>
      <w:r>
        <w:rPr>
          <w:rFonts w:cs="Times New Roman"/>
        </w:rPr>
        <w:t xml:space="preserve">, </w:t>
      </w:r>
      <w:r w:rsidR="00B552DE">
        <w:rPr>
          <w:rFonts w:cs="Times New Roman"/>
        </w:rPr>
        <w:t xml:space="preserve">               </w:t>
      </w:r>
      <w:r>
        <w:rPr>
          <w:rFonts w:cs="Times New Roman"/>
        </w:rPr>
        <w:t>1</w:t>
      </w:r>
      <w:proofErr w:type="gramEnd"/>
      <w:r>
        <w:rPr>
          <w:rFonts w:cs="Times New Roman"/>
        </w:rPr>
        <w:t>.384</w:t>
      </w:r>
      <w:r w:rsidR="00126E5D">
        <w:rPr>
          <w:rFonts w:cs="Times New Roman"/>
        </w:rPr>
        <w:t xml:space="preserve"> millió</w:t>
      </w:r>
      <w:r>
        <w:rPr>
          <w:rFonts w:cs="Times New Roman"/>
        </w:rPr>
        <w:t xml:space="preserve"> Ft a lejárt követelés aránya</w:t>
      </w:r>
      <w:r w:rsidR="001B41D7">
        <w:rPr>
          <w:rFonts w:cs="Times New Roman"/>
        </w:rPr>
        <w:t xml:space="preserve"> (ebből </w:t>
      </w:r>
      <w:r w:rsidR="001B41D7" w:rsidRPr="001B41D7">
        <w:rPr>
          <w:rFonts w:cs="Times New Roman"/>
        </w:rPr>
        <w:t>1.104</w:t>
      </w:r>
      <w:r w:rsidR="00126E5D">
        <w:rPr>
          <w:rFonts w:cs="Times New Roman"/>
        </w:rPr>
        <w:t xml:space="preserve"> millió Ft </w:t>
      </w:r>
      <w:r w:rsidR="001B41D7">
        <w:rPr>
          <w:rFonts w:cs="Times New Roman"/>
        </w:rPr>
        <w:t>a lejárt felügyeleti díj) és</w:t>
      </w:r>
      <w:r w:rsidR="00E73036">
        <w:rPr>
          <w:rFonts w:cs="Times New Roman"/>
        </w:rPr>
        <w:t xml:space="preserve"> 70,5%</w:t>
      </w:r>
      <w:r w:rsidR="001B41D7">
        <w:rPr>
          <w:rFonts w:cs="Times New Roman"/>
        </w:rPr>
        <w:t>, azaz</w:t>
      </w:r>
      <w:r w:rsidR="00126E5D">
        <w:rPr>
          <w:rFonts w:cs="Times New Roman"/>
        </w:rPr>
        <w:t xml:space="preserve"> 3.311 millió</w:t>
      </w:r>
      <w:r w:rsidR="00E73036">
        <w:rPr>
          <w:rFonts w:cs="Times New Roman"/>
        </w:rPr>
        <w:t xml:space="preserve"> Ft a 2017-ben esedékes követelések aránya (ebből 2.609</w:t>
      </w:r>
      <w:r w:rsidR="00126E5D">
        <w:rPr>
          <w:rFonts w:cs="Times New Roman"/>
        </w:rPr>
        <w:t xml:space="preserve"> millió Ft </w:t>
      </w:r>
      <w:r w:rsidR="00E73036">
        <w:rPr>
          <w:rFonts w:cs="Times New Roman"/>
        </w:rPr>
        <w:t>a 2017. január 31-i fizetési határidejű felügyeleti díj).</w:t>
      </w:r>
      <w:r w:rsidR="001B41D7">
        <w:rPr>
          <w:rFonts w:cs="Times New Roman"/>
        </w:rPr>
        <w:t xml:space="preserve"> </w:t>
      </w:r>
    </w:p>
    <w:p w:rsidR="00126E5D" w:rsidRDefault="00126E5D" w:rsidP="001B41D7">
      <w:pPr>
        <w:pStyle w:val="Standard"/>
        <w:jc w:val="both"/>
        <w:rPr>
          <w:rFonts w:cs="Times New Roman"/>
        </w:rPr>
      </w:pPr>
    </w:p>
    <w:p w:rsidR="00071044" w:rsidRDefault="00D32AEF" w:rsidP="001B41D7">
      <w:pPr>
        <w:pStyle w:val="Standard"/>
        <w:jc w:val="both"/>
      </w:pPr>
      <w:r>
        <w:t>Összességében elmondható, hogy a közhatalmi és a működési bevételek adják a NÉBIH forrásainak</w:t>
      </w:r>
      <w:r w:rsidR="00C2678C">
        <w:t xml:space="preserve"> 46,4%-t, az INTEL projekt egyszeri bevételi hatását leszámítva felét, 50%-t. Ezért a </w:t>
      </w:r>
      <w:proofErr w:type="spellStart"/>
      <w:r w:rsidR="00C2678C">
        <w:t>NÉBIH-nek</w:t>
      </w:r>
      <w:proofErr w:type="spellEnd"/>
      <w:r w:rsidR="00C2678C">
        <w:t xml:space="preserve"> </w:t>
      </w:r>
      <w:r w:rsidR="00126E5D">
        <w:t xml:space="preserve">a szakmai igazgatóságok és a gazdasági szervezet részéről is </w:t>
      </w:r>
      <w:r w:rsidR="00C2678C">
        <w:t xml:space="preserve">jelentős erőforrásokat kell </w:t>
      </w:r>
      <w:r w:rsidR="00126E5D">
        <w:t xml:space="preserve">fordítania egyrészt az azonosítatlan </w:t>
      </w:r>
      <w:r w:rsidR="00126E5D">
        <w:sym w:font="Symbol" w:char="F02D"/>
      </w:r>
      <w:r w:rsidR="00126E5D">
        <w:t xml:space="preserve"> pl. </w:t>
      </w:r>
      <w:r w:rsidR="00C2678C">
        <w:t>a díjtételrendelet alapján előre fizetett</w:t>
      </w:r>
      <w:r w:rsidR="00126E5D">
        <w:t xml:space="preserve"> vagy az ügyfelek részéről hibás vagy hiányos közleménnyel befizetett</w:t>
      </w:r>
      <w:r w:rsidR="00C2678C">
        <w:t xml:space="preserve"> </w:t>
      </w:r>
      <w:r w:rsidR="00126E5D">
        <w:sym w:font="Symbol" w:char="F02D"/>
      </w:r>
      <w:r w:rsidR="00126E5D">
        <w:t xml:space="preserve"> </w:t>
      </w:r>
      <w:r w:rsidR="00C2678C">
        <w:t xml:space="preserve">bevételek beazonosítására, </w:t>
      </w:r>
      <w:r w:rsidR="00126E5D">
        <w:t>másrészt</w:t>
      </w:r>
      <w:r w:rsidR="00C2678C">
        <w:t xml:space="preserve"> a lejárt követelések behajtására. Tapasztalataink szerint az utólagos fizetési felszólítások, fizetési meghagyásos és végrehajtási eljárásokkal szemben eredményesebb az elektronikus fizetési eljárások </w:t>
      </w:r>
      <w:r w:rsidR="002C3F73">
        <w:t>elterjesztése</w:t>
      </w:r>
      <w:r w:rsidR="00071044">
        <w:t>, amelyet egyelőre a turista horgászjegyek értékesítése során alkalmazunk.</w:t>
      </w:r>
    </w:p>
    <w:p w:rsidR="009A31A3" w:rsidRDefault="009A31A3" w:rsidP="00DE18A2"/>
    <w:p w:rsidR="00126E5D" w:rsidRDefault="00126E5D" w:rsidP="00126E5D">
      <w:pPr>
        <w:pStyle w:val="Standard"/>
        <w:jc w:val="both"/>
        <w:rPr>
          <w:rFonts w:cs="Times New Roman"/>
        </w:rPr>
      </w:pPr>
      <w:r>
        <w:t xml:space="preserve">Az élelmiszerlánc-felügyeleti </w:t>
      </w:r>
      <w:proofErr w:type="gramStart"/>
      <w:r>
        <w:t>díj adók</w:t>
      </w:r>
      <w:proofErr w:type="gramEnd"/>
      <w:r>
        <w:t xml:space="preserve"> módjára behajtható követelés. A fizetési felszólítások hatására fizetési kötelezettségüket nem teljesítő </w:t>
      </w:r>
      <w:r w:rsidRPr="006B0997">
        <w:t xml:space="preserve">fizető ügyfelekkel szemben a Hivatal végrehajtást kezdeményezett az illetékes Nemzeti Adó- és Vámhivatal felé a kintlévőségek behajtása céljából, összességében 2016. év végéig több mint 331 millió Ft összegben. A </w:t>
      </w:r>
      <w:r w:rsidRPr="006B0997">
        <w:lastRenderedPageBreak/>
        <w:t>megkeresések alapján a területileg illetékes NAV 2016. év végéig megközelítőleg 97 millió Ft összegben az ügyfelektől sikeresen behajtotta a tartozásokat</w:t>
      </w:r>
      <w:r>
        <w:t xml:space="preserve">.  </w:t>
      </w:r>
      <w:r w:rsidRPr="00B01EE3">
        <w:rPr>
          <w:rFonts w:cs="Times New Roman"/>
        </w:rPr>
        <w:t xml:space="preserve">Említést érdemel a felügyeleti díj késedelmes befizetéséhez kapcsolódó késedelmi </w:t>
      </w:r>
      <w:proofErr w:type="gramStart"/>
      <w:r w:rsidRPr="00B01EE3">
        <w:rPr>
          <w:rFonts w:cs="Times New Roman"/>
        </w:rPr>
        <w:t>pótlék emelkedő</w:t>
      </w:r>
      <w:proofErr w:type="gramEnd"/>
      <w:r w:rsidRPr="00B01EE3">
        <w:rPr>
          <w:rFonts w:cs="Times New Roman"/>
        </w:rPr>
        <w:t xml:space="preserve">, 2016-ban 16.706 e Ft összege, </w:t>
      </w:r>
      <w:r>
        <w:rPr>
          <w:rFonts w:cs="Times New Roman"/>
        </w:rPr>
        <w:t>a</w:t>
      </w:r>
      <w:r w:rsidRPr="00B01EE3">
        <w:rPr>
          <w:rFonts w:cs="Times New Roman"/>
        </w:rPr>
        <w:t>mely</w:t>
      </w:r>
      <w:r>
        <w:rPr>
          <w:rFonts w:cs="Times New Roman"/>
        </w:rPr>
        <w:t xml:space="preserve"> az eredményes behajtási technikák következménye és</w:t>
      </w:r>
      <w:r w:rsidRPr="00B01EE3">
        <w:rPr>
          <w:rFonts w:cs="Times New Roman"/>
        </w:rPr>
        <w:t xml:space="preserve"> abszolút értékén túl jelentősen javítja a bevallásra kötelezettek fizetési fegyelmét.</w:t>
      </w:r>
      <w:r>
        <w:rPr>
          <w:rFonts w:cs="Times New Roman"/>
        </w:rPr>
        <w:t xml:space="preserve"> </w:t>
      </w:r>
    </w:p>
    <w:p w:rsidR="00126E5D" w:rsidRDefault="00126E5D" w:rsidP="00126E5D">
      <w:pPr>
        <w:pStyle w:val="Standard"/>
        <w:jc w:val="both"/>
        <w:rPr>
          <w:rFonts w:cs="Times New Roman"/>
        </w:rPr>
      </w:pPr>
    </w:p>
    <w:p w:rsidR="003F670A" w:rsidRDefault="00453A30" w:rsidP="00126E5D">
      <w:r>
        <w:t xml:space="preserve">Központosított </w:t>
      </w:r>
      <w:r w:rsidR="00126E5D">
        <w:t>költségvetés bevételét jelentő bírság</w:t>
      </w:r>
      <w:r>
        <w:t xml:space="preserve"> </w:t>
      </w:r>
      <w:r w:rsidR="00126E5D">
        <w:t>december 31-i</w:t>
      </w:r>
      <w:r>
        <w:t xml:space="preserve"> követelésállományból a lejárt követelés mértéke 99,3%,</w:t>
      </w:r>
      <w:r w:rsidR="00126E5D">
        <w:t xml:space="preserve"> 1.076 millió Ft,</w:t>
      </w:r>
      <w:r>
        <w:t xml:space="preserve"> a le nem járt követelés pedig 0,7%,</w:t>
      </w:r>
      <w:r w:rsidR="00126E5D">
        <w:t xml:space="preserve"> 2,8 millió Ft. </w:t>
      </w:r>
      <w:r w:rsidR="00A71B81">
        <w:t>A bírságok befizetési hajlandósága az átlagosnál jóval rosszabb; az érintett cégek jelentős része a cégnyilvántartás szerint működésében korlátozottá válik.</w:t>
      </w:r>
    </w:p>
    <w:p w:rsidR="003F670A" w:rsidRDefault="003F670A" w:rsidP="00126E5D"/>
    <w:p w:rsidR="00A71B81" w:rsidRPr="001D07E4" w:rsidRDefault="001D07E4" w:rsidP="001D07E4">
      <w:pPr>
        <w:jc w:val="center"/>
        <w:rPr>
          <w:u w:val="single"/>
        </w:rPr>
      </w:pPr>
      <w:r w:rsidRPr="001D07E4">
        <w:rPr>
          <w:u w:val="single"/>
        </w:rPr>
        <w:t xml:space="preserve">Egyes bírságtípusok adatai  </w:t>
      </w:r>
    </w:p>
    <w:p w:rsidR="001D07E4" w:rsidRPr="001D07E4" w:rsidRDefault="001D07E4" w:rsidP="001D07E4">
      <w:pPr>
        <w:jc w:val="center"/>
        <w:rPr>
          <w:sz w:val="20"/>
          <w:szCs w:val="20"/>
          <w:u w:val="single"/>
        </w:rPr>
      </w:pPr>
    </w:p>
    <w:p w:rsidR="00A71B81" w:rsidRPr="00A71B81" w:rsidRDefault="00A71B81" w:rsidP="00126E5D">
      <w:pP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A71B81">
        <w:rPr>
          <w:i/>
          <w:sz w:val="20"/>
          <w:szCs w:val="20"/>
        </w:rPr>
        <w:t>adatok</w:t>
      </w:r>
      <w:proofErr w:type="gramEnd"/>
      <w:r w:rsidRPr="00A71B81">
        <w:rPr>
          <w:i/>
          <w:sz w:val="20"/>
          <w:szCs w:val="20"/>
        </w:rPr>
        <w:t xml:space="preserve"> millió Ft-ban</w:t>
      </w: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2"/>
        <w:gridCol w:w="1386"/>
        <w:gridCol w:w="2052"/>
      </w:tblGrid>
      <w:tr w:rsidR="00A71B81" w:rsidRPr="00A71B81" w:rsidTr="00A71B81">
        <w:trPr>
          <w:trHeight w:val="105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1B81" w:rsidRPr="00A71B81" w:rsidRDefault="00A71B81" w:rsidP="00A71B81">
            <w:pPr>
              <w:jc w:val="center"/>
              <w:rPr>
                <w:b/>
                <w:bCs/>
                <w:color w:val="000000"/>
              </w:rPr>
            </w:pPr>
            <w:r w:rsidRPr="00A71B81">
              <w:rPr>
                <w:b/>
                <w:bCs/>
                <w:color w:val="000000"/>
              </w:rPr>
              <w:t>Bírság típusa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1B81" w:rsidRPr="00A71B81" w:rsidRDefault="00A71B81" w:rsidP="00A71B81">
            <w:pPr>
              <w:jc w:val="center"/>
              <w:rPr>
                <w:b/>
                <w:bCs/>
                <w:color w:val="000000"/>
              </w:rPr>
            </w:pPr>
            <w:r w:rsidRPr="00A71B81">
              <w:rPr>
                <w:b/>
                <w:bCs/>
                <w:color w:val="000000"/>
              </w:rPr>
              <w:t>2016. évi befizetés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71B81" w:rsidRPr="00A71B81" w:rsidRDefault="00A71B81" w:rsidP="00A71B81">
            <w:pPr>
              <w:jc w:val="center"/>
              <w:rPr>
                <w:b/>
                <w:bCs/>
                <w:color w:val="000000"/>
              </w:rPr>
            </w:pPr>
            <w:r w:rsidRPr="00A71B81">
              <w:rPr>
                <w:b/>
                <w:bCs/>
                <w:color w:val="000000"/>
              </w:rPr>
              <w:t>2016.12.31-én fennálló követelésállomány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Halvédelmi és halgazdálkodási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4,45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5,85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Növényvédelmi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178,48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100,55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proofErr w:type="spellStart"/>
            <w:r w:rsidRPr="00A71B81">
              <w:rPr>
                <w:color w:val="000000"/>
              </w:rPr>
              <w:t>Takarményellenőrzési</w:t>
            </w:r>
            <w:proofErr w:type="spellEnd"/>
            <w:r w:rsidRPr="00A71B81">
              <w:rPr>
                <w:color w:val="000000"/>
              </w:rPr>
              <w:t xml:space="preserve">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7,30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3,48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Élelmiszer-ellenőrzési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19,77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35,24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Élelmiszerlánc felügyeleti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100,10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321,22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Növénytermesztési minőségvédelmi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1,72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1,15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Borminősítési minőségvédelmi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1,09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427,10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 xml:space="preserve">Bor forgalomba hozatali </w:t>
            </w:r>
            <w:proofErr w:type="gramStart"/>
            <w:r w:rsidRPr="00A71B81">
              <w:rPr>
                <w:color w:val="000000"/>
              </w:rPr>
              <w:t>járulék mulasztási</w:t>
            </w:r>
            <w:proofErr w:type="gramEnd"/>
            <w:r w:rsidRPr="00A71B81">
              <w:rPr>
                <w:color w:val="000000"/>
              </w:rPr>
              <w:t xml:space="preserve">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4,76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34,46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Állatvédelmi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1,14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1,22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BÜHG adatszolgáltatás mulasztási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7,53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120,23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Tisztességtelen forgalmazói magatartás bírsága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202,03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26,00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Eljárási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5,36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2,25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color w:val="000000"/>
              </w:rPr>
            </w:pPr>
            <w:r w:rsidRPr="00A71B81">
              <w:rPr>
                <w:color w:val="000000"/>
              </w:rPr>
              <w:t>Mulasztási bírság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3,12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color w:val="000000"/>
              </w:rPr>
            </w:pPr>
            <w:r w:rsidRPr="00A71B81">
              <w:rPr>
                <w:color w:val="000000"/>
              </w:rPr>
              <w:t>3,78</w:t>
            </w:r>
          </w:p>
        </w:tc>
      </w:tr>
      <w:tr w:rsidR="00A71B81" w:rsidRPr="00A71B81" w:rsidTr="00A71B81">
        <w:trPr>
          <w:trHeight w:val="315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left"/>
              <w:rPr>
                <w:b/>
                <w:bCs/>
                <w:color w:val="000000"/>
              </w:rPr>
            </w:pPr>
            <w:r w:rsidRPr="00A71B81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b/>
                <w:bCs/>
                <w:color w:val="000000"/>
              </w:rPr>
            </w:pPr>
            <w:r w:rsidRPr="00A71B81">
              <w:rPr>
                <w:b/>
                <w:bCs/>
                <w:color w:val="000000"/>
              </w:rPr>
              <w:t>536,85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B81" w:rsidRPr="00A71B81" w:rsidRDefault="00A71B81" w:rsidP="00A71B81">
            <w:pPr>
              <w:jc w:val="right"/>
              <w:rPr>
                <w:b/>
                <w:bCs/>
                <w:color w:val="000000"/>
              </w:rPr>
            </w:pPr>
            <w:r w:rsidRPr="00A71B81">
              <w:rPr>
                <w:b/>
                <w:bCs/>
                <w:color w:val="000000"/>
              </w:rPr>
              <w:t>1 082,53</w:t>
            </w:r>
          </w:p>
        </w:tc>
      </w:tr>
    </w:tbl>
    <w:p w:rsidR="00A71B81" w:rsidRDefault="00A71B81" w:rsidP="00126E5D"/>
    <w:p w:rsidR="00126E5D" w:rsidRDefault="00126E5D" w:rsidP="00126E5D">
      <w:r>
        <w:t>A bírság behajtások érdekében</w:t>
      </w:r>
      <w:r w:rsidR="004F187A">
        <w:t xml:space="preserve"> h</w:t>
      </w:r>
      <w:r>
        <w:t>itelezői igény 535,5 millió Ft értékben került bejelentésre, részletfizetési engedély, illetve peres eljárás alá</w:t>
      </w:r>
      <w:r w:rsidR="004F187A">
        <w:t xml:space="preserve"> vont követelés 179,4 millió Ft</w:t>
      </w:r>
      <w:r>
        <w:t xml:space="preserve">. </w:t>
      </w:r>
      <w:r w:rsidR="001C3CEF">
        <w:t xml:space="preserve">A behajtás értékhatára 10 ezer Ft, s csaknem valamennyi követelés meghaladja az értékhatárt. </w:t>
      </w:r>
      <w:r>
        <w:t>Behajtási eljárás folyamatában lévő, adóhatóság részére bejelentett követelés 246,8 millió Ft.</w:t>
      </w:r>
      <w:r w:rsidR="004F187A">
        <w:t xml:space="preserve"> </w:t>
      </w:r>
    </w:p>
    <w:p w:rsidR="0061015A" w:rsidRDefault="0061015A" w:rsidP="00453A30"/>
    <w:p w:rsidR="00453A30" w:rsidRDefault="004F187A" w:rsidP="00453A30">
      <w:r>
        <w:t xml:space="preserve">Az élelmiszerlánc felügyeleti díjon kívüli NÉBIH bevételek behajtása esetében az értékhatár partnerenként 100 ezer Ft, </w:t>
      </w:r>
      <w:r w:rsidR="001C3CEF">
        <w:t>a behajtási értékhatár feletti követelés összege 184,7 millió Ft. Ebből behajtásra átadott 108,3 millió Ft értékű hátralékos követelés.</w:t>
      </w:r>
      <w:r w:rsidR="001C3CEF" w:rsidRPr="001C3CEF">
        <w:t xml:space="preserve"> </w:t>
      </w:r>
      <w:r w:rsidR="001C3CEF">
        <w:t>Részletfizetés és per alatt lévő hátralékos követelések 18,9 millió forint.</w:t>
      </w:r>
    </w:p>
    <w:p w:rsidR="00453A30" w:rsidRDefault="00453A30" w:rsidP="00453A30">
      <w:pPr>
        <w:ind w:left="1062" w:firstLine="3"/>
      </w:pPr>
    </w:p>
    <w:p w:rsidR="001D07E4" w:rsidRDefault="001D07E4">
      <w:pPr>
        <w:jc w:val="left"/>
      </w:pPr>
      <w:r>
        <w:br w:type="page"/>
      </w:r>
    </w:p>
    <w:p w:rsidR="009E73B6" w:rsidRDefault="00C2678C" w:rsidP="00DE18A2">
      <w:pPr>
        <w:rPr>
          <w:b/>
          <w:u w:val="single"/>
        </w:rPr>
      </w:pPr>
      <w:r>
        <w:lastRenderedPageBreak/>
        <w:t xml:space="preserve"> </w:t>
      </w:r>
      <w:r w:rsidR="009D6AC0">
        <w:rPr>
          <w:b/>
          <w:u w:val="single"/>
        </w:rPr>
        <w:t>Költségvetési maradvány (2015. és 2016. év)</w:t>
      </w:r>
    </w:p>
    <w:p w:rsidR="009D6AC0" w:rsidRPr="00537A1B" w:rsidRDefault="009D6AC0" w:rsidP="009D6AC0">
      <w:pPr>
        <w:rPr>
          <w:b/>
        </w:rPr>
      </w:pPr>
    </w:p>
    <w:p w:rsidR="009D6AC0" w:rsidRDefault="009D6AC0" w:rsidP="009D6AC0">
      <w:r w:rsidRPr="00BE6058">
        <w:rPr>
          <w:b/>
        </w:rPr>
        <w:t>A 201</w:t>
      </w:r>
      <w:r>
        <w:rPr>
          <w:b/>
        </w:rPr>
        <w:t>5</w:t>
      </w:r>
      <w:r w:rsidRPr="00BE6058">
        <w:rPr>
          <w:b/>
        </w:rPr>
        <w:t xml:space="preserve">. évi maradvány: </w:t>
      </w:r>
      <w:r>
        <w:rPr>
          <w:b/>
        </w:rPr>
        <w:t>1.944.630</w:t>
      </w:r>
      <w:r w:rsidRPr="00BE6058">
        <w:rPr>
          <w:b/>
        </w:rPr>
        <w:t xml:space="preserve"> ezer Ft</w:t>
      </w:r>
      <w:r>
        <w:t>, amelyből 1.928.092 ezer Ft került felhasználásra 2016.évben. A 2015. évi maradvány teljes összege kötelezettségvállalással terhelt volt.</w:t>
      </w:r>
    </w:p>
    <w:p w:rsidR="009D6AC0" w:rsidRPr="00272597" w:rsidRDefault="009D6AC0" w:rsidP="009D6AC0"/>
    <w:p w:rsidR="009D6AC0" w:rsidRPr="00537A1B" w:rsidRDefault="009D6AC0" w:rsidP="009D6AC0">
      <w:r w:rsidRPr="00537A1B">
        <w:t>Felhasználására személyi juttatás és munkaadót terhelő járulék, dologi kiadás</w:t>
      </w:r>
      <w:r>
        <w:t>, egyéb működési és felhalmozási célú kiadás, illetve</w:t>
      </w:r>
      <w:r w:rsidRPr="00537A1B">
        <w:t xml:space="preserve"> </w:t>
      </w:r>
      <w:r>
        <w:t>beruházás és</w:t>
      </w:r>
      <w:r w:rsidRPr="00537A1B">
        <w:t xml:space="preserve"> felújítás</w:t>
      </w:r>
      <w:r>
        <w:t xml:space="preserve"> </w:t>
      </w:r>
      <w:r w:rsidRPr="00537A1B">
        <w:t xml:space="preserve">kiemelt kiadási előirányzatot érintően került sor. </w:t>
      </w:r>
    </w:p>
    <w:p w:rsidR="009D6AC0" w:rsidRPr="00537A1B" w:rsidRDefault="009D6AC0" w:rsidP="009D6AC0"/>
    <w:p w:rsidR="009D6AC0" w:rsidRDefault="009D6AC0" w:rsidP="009D6AC0">
      <w:r w:rsidRPr="00537A1B">
        <w:rPr>
          <w:b/>
        </w:rPr>
        <w:t xml:space="preserve">Beruházás, felújítás </w:t>
      </w:r>
      <w:r w:rsidRPr="00537A1B">
        <w:t xml:space="preserve">(Összesen: </w:t>
      </w:r>
      <w:r>
        <w:t>555,0</w:t>
      </w:r>
      <w:r w:rsidRPr="00537A1B">
        <w:t xml:space="preserve"> millió Ft)</w:t>
      </w:r>
    </w:p>
    <w:p w:rsidR="009D6AC0" w:rsidRPr="009D1AC7" w:rsidRDefault="009D6AC0" w:rsidP="009D6AC0">
      <w:pPr>
        <w:numPr>
          <w:ilvl w:val="0"/>
          <w:numId w:val="6"/>
        </w:numPr>
        <w:rPr>
          <w:b/>
        </w:rPr>
      </w:pPr>
      <w:r w:rsidRPr="009D1AC7">
        <w:t>Immateriális javak beszerzése: 194,0 millió Ft, amelyből jelentős összeg volt az időjárási kockázatkezelési rendszer fejlesztése a Földművelésügyi Minisztériummal kötött támogatói okirat alapján, az élelmiszerlánc-felügyeleti rendszer fejlesztése és a különböző szakrendszerek fejlesztése</w:t>
      </w:r>
      <w:r>
        <w:t xml:space="preserve"> (ügyviteli rendszerek, portál, adatbázisok és bevallási rendszer)</w:t>
      </w:r>
      <w:r w:rsidRPr="009D1AC7">
        <w:t>.</w:t>
      </w:r>
    </w:p>
    <w:p w:rsidR="009D6AC0" w:rsidRPr="0039781D" w:rsidRDefault="009D6AC0" w:rsidP="009D6AC0">
      <w:pPr>
        <w:pStyle w:val="Listaszerbekezds"/>
        <w:numPr>
          <w:ilvl w:val="0"/>
          <w:numId w:val="6"/>
        </w:numPr>
        <w:rPr>
          <w:sz w:val="24"/>
          <w:lang w:eastAsia="hu-HU"/>
        </w:rPr>
      </w:pPr>
      <w:r w:rsidRPr="0039781D">
        <w:rPr>
          <w:sz w:val="24"/>
          <w:lang w:eastAsia="hu-HU"/>
        </w:rPr>
        <w:t>Ingatlanok beszerzése, létesítése: 139,2 millió Ft, a 2015. évi élelmiszer-felügyeleti díjbevétel fel nem használt részéből képződött maradvány fedezete lehetőséget nyújtott épület és építmény beruházásra, felújításra, amelynek keretében laborépület villamos hálózatának, a központi épület alagsorának és a Zamárdi Oktatási Központ felújítása zajlott, valamint kisebb beruházási feladatok.</w:t>
      </w:r>
    </w:p>
    <w:p w:rsidR="009D6AC0" w:rsidRPr="0039781D" w:rsidRDefault="009D6AC0" w:rsidP="009D6AC0">
      <w:pPr>
        <w:pStyle w:val="Listaszerbekezds"/>
        <w:numPr>
          <w:ilvl w:val="0"/>
          <w:numId w:val="6"/>
        </w:numPr>
        <w:rPr>
          <w:sz w:val="24"/>
          <w:lang w:eastAsia="hu-HU"/>
        </w:rPr>
      </w:pPr>
      <w:r w:rsidRPr="003E2404">
        <w:rPr>
          <w:sz w:val="24"/>
          <w:lang w:eastAsia="hu-HU"/>
        </w:rPr>
        <w:t xml:space="preserve">Ingatlanok felújítása: </w:t>
      </w:r>
      <w:r>
        <w:rPr>
          <w:sz w:val="24"/>
          <w:lang w:eastAsia="hu-HU"/>
        </w:rPr>
        <w:t>irodák</w:t>
      </w:r>
      <w:r w:rsidRPr="003E2404">
        <w:rPr>
          <w:sz w:val="24"/>
          <w:lang w:eastAsia="hu-HU"/>
        </w:rPr>
        <w:t xml:space="preserve"> felújítása, labor</w:t>
      </w:r>
      <w:r>
        <w:rPr>
          <w:sz w:val="24"/>
          <w:lang w:eastAsia="hu-HU"/>
        </w:rPr>
        <w:t>atóriumok</w:t>
      </w:r>
      <w:r w:rsidRPr="003E2404">
        <w:rPr>
          <w:sz w:val="24"/>
          <w:lang w:eastAsia="hu-HU"/>
        </w:rPr>
        <w:t xml:space="preserve"> </w:t>
      </w:r>
      <w:r>
        <w:rPr>
          <w:sz w:val="24"/>
          <w:lang w:eastAsia="hu-HU"/>
        </w:rPr>
        <w:t xml:space="preserve">felújítása, laborhelyiségek </w:t>
      </w:r>
      <w:r w:rsidRPr="0039781D">
        <w:rPr>
          <w:sz w:val="24"/>
          <w:lang w:eastAsia="hu-HU"/>
        </w:rPr>
        <w:t>korszerűsítése, épületgépészeti felújítás: 58,3 millió Ft.</w:t>
      </w:r>
    </w:p>
    <w:p w:rsidR="009D6AC0" w:rsidRPr="0039781D" w:rsidRDefault="009D6AC0" w:rsidP="009D6AC0">
      <w:pPr>
        <w:pStyle w:val="Listaszerbekezds"/>
        <w:numPr>
          <w:ilvl w:val="0"/>
          <w:numId w:val="6"/>
        </w:numPr>
        <w:rPr>
          <w:sz w:val="24"/>
          <w:lang w:eastAsia="hu-HU"/>
        </w:rPr>
      </w:pPr>
      <w:r w:rsidRPr="0039781D">
        <w:rPr>
          <w:sz w:val="24"/>
          <w:lang w:eastAsia="hu-HU"/>
        </w:rPr>
        <w:t>Informatikai eszközök beszerzése, létesítése: 2,7 millió Ft. Jelentős része címkenyomtatók beszerzésére került felhasználásra</w:t>
      </w:r>
      <w:r w:rsidRPr="0039781D">
        <w:rPr>
          <w:sz w:val="24"/>
        </w:rPr>
        <w:t>.</w:t>
      </w:r>
    </w:p>
    <w:p w:rsidR="009D6AC0" w:rsidRPr="00537A1B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 w:rsidRPr="0039781D">
        <w:rPr>
          <w:sz w:val="24"/>
          <w:lang w:eastAsia="hu-HU"/>
        </w:rPr>
        <w:t xml:space="preserve">Egyéb tárgyi eszköz beszerzése, létesítése: 160,8 millió Ft, nagyrészt szintén élelmiszer-felügyeleti díjbevétel maradványából megvalósuló szakmai berendezések és épület átalakításhoz kapcsolódó berendezések, felszerelések beszerzése. </w:t>
      </w:r>
      <w:r w:rsidRPr="0039781D">
        <w:rPr>
          <w:sz w:val="24"/>
        </w:rPr>
        <w:t>A 2013. évi CII. törvény alapján a fogási napló és fogási tanúsítvány, valamint a turista állami horgászjegy díja a törvény által meghatározott kiadásokra fordítható,</w:t>
      </w:r>
      <w:r>
        <w:rPr>
          <w:sz w:val="24"/>
        </w:rPr>
        <w:t xml:space="preserve"> ezáltal megvalósult több, halászathoz kapcsolódó szakmai eszköz és jármű beszerzés.</w:t>
      </w:r>
    </w:p>
    <w:p w:rsidR="009D6AC0" w:rsidRPr="00537A1B" w:rsidRDefault="009D6AC0" w:rsidP="009D6AC0">
      <w:pPr>
        <w:pStyle w:val="Listaszerbekezds"/>
        <w:ind w:firstLine="0"/>
      </w:pPr>
    </w:p>
    <w:p w:rsidR="009D6AC0" w:rsidRPr="00C2143E" w:rsidRDefault="009D6AC0" w:rsidP="009D6AC0">
      <w:r w:rsidRPr="00C2143E">
        <w:rPr>
          <w:b/>
        </w:rPr>
        <w:t>Egyéb felhalmozási és működési célú kiadás (</w:t>
      </w:r>
      <w:r w:rsidRPr="00C2143E">
        <w:t>Összesen: 49,1 millió Ft)</w:t>
      </w:r>
    </w:p>
    <w:p w:rsidR="009D6AC0" w:rsidRDefault="009D6AC0" w:rsidP="009D6AC0">
      <w:pPr>
        <w:pStyle w:val="Listaszerbekezds"/>
        <w:numPr>
          <w:ilvl w:val="0"/>
          <w:numId w:val="5"/>
        </w:numPr>
        <w:rPr>
          <w:sz w:val="24"/>
        </w:rPr>
      </w:pPr>
      <w:r w:rsidRPr="00C2143E">
        <w:rPr>
          <w:sz w:val="24"/>
        </w:rPr>
        <w:t>Felhalmozási célú visszatérítendő munkáltatón lakáskölcsön, amelyről a megállapodás 2015. évben elkészült, a kifizetés áthúzódott 2016-ra: 30,0 millió Ft</w:t>
      </w:r>
    </w:p>
    <w:p w:rsidR="009D6AC0" w:rsidRDefault="009D6AC0" w:rsidP="009D6AC0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>Kötelező állatkártalanítás és aranykorona kártalanítás: 13,3 millió Ft</w:t>
      </w:r>
    </w:p>
    <w:p w:rsidR="009D6AC0" w:rsidRPr="00C2143E" w:rsidRDefault="009D6AC0" w:rsidP="009D6AC0">
      <w:pPr>
        <w:pStyle w:val="Listaszerbekezds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OTKA, Állami halőr szolgálat, helyi termék éve, 148/2007 FM rend. alapján visszafizetett összegek, egyéb felhasználás: 5,8 millió </w:t>
      </w:r>
      <w:proofErr w:type="spellStart"/>
      <w:r>
        <w:rPr>
          <w:sz w:val="24"/>
        </w:rPr>
        <w:t>ft</w:t>
      </w:r>
      <w:proofErr w:type="spellEnd"/>
      <w:r>
        <w:rPr>
          <w:sz w:val="24"/>
        </w:rPr>
        <w:t>.</w:t>
      </w:r>
    </w:p>
    <w:p w:rsidR="009D6AC0" w:rsidRPr="00A40549" w:rsidRDefault="009D6AC0" w:rsidP="009D6AC0">
      <w:pPr>
        <w:pStyle w:val="Listaszerbekezds"/>
        <w:ind w:firstLine="0"/>
        <w:rPr>
          <w:sz w:val="24"/>
        </w:rPr>
      </w:pPr>
    </w:p>
    <w:p w:rsidR="009D6AC0" w:rsidRPr="00A40549" w:rsidRDefault="009D6AC0" w:rsidP="009D6AC0">
      <w:r w:rsidRPr="00A40549">
        <w:rPr>
          <w:b/>
        </w:rPr>
        <w:t xml:space="preserve">Személyi juttatások, munkaadót terhelő járulékok </w:t>
      </w:r>
      <w:r w:rsidRPr="00A40549">
        <w:t>(Összesen: személyi juttatások: 35,4 millió Ft, munkaadót terhelő járulékok: 10,6 millió Ft)</w:t>
      </w:r>
    </w:p>
    <w:p w:rsidR="009D6AC0" w:rsidRPr="00A40549" w:rsidRDefault="009D6AC0" w:rsidP="009D6AC0">
      <w:pPr>
        <w:pStyle w:val="Listaszerbekezds"/>
        <w:numPr>
          <w:ilvl w:val="0"/>
          <w:numId w:val="2"/>
        </w:numPr>
        <w:rPr>
          <w:sz w:val="24"/>
        </w:rPr>
      </w:pPr>
      <w:r w:rsidRPr="00A40549">
        <w:rPr>
          <w:sz w:val="24"/>
        </w:rPr>
        <w:t>Állományba nem tartozók 2015. decemberi munkavégzésére 2015-ben kifizetett juttatások és járulékai: 6,1 millió Ft</w:t>
      </w:r>
    </w:p>
    <w:p w:rsidR="009D6AC0" w:rsidRDefault="009D6AC0" w:rsidP="009D6AC0">
      <w:pPr>
        <w:pStyle w:val="Listaszerbekezds"/>
        <w:numPr>
          <w:ilvl w:val="0"/>
          <w:numId w:val="2"/>
        </w:numPr>
        <w:rPr>
          <w:sz w:val="24"/>
        </w:rPr>
      </w:pPr>
      <w:r w:rsidRPr="00A40549">
        <w:rPr>
          <w:sz w:val="24"/>
        </w:rPr>
        <w:t>egyéb (felhasználási céllal beszedett bevételek és támogatások személyi jellegű kifizetései, tanulmányi költségtérítések, egyes meghatározott juttatások, kiküldetések napidíjai, reprezentáció): 39,9 millió Ft</w:t>
      </w:r>
    </w:p>
    <w:p w:rsidR="009D6AC0" w:rsidRPr="00A40549" w:rsidRDefault="009D6AC0" w:rsidP="009D6AC0">
      <w:pPr>
        <w:pStyle w:val="Listaszerbekezds"/>
        <w:numPr>
          <w:ilvl w:val="0"/>
          <w:numId w:val="2"/>
        </w:numPr>
        <w:rPr>
          <w:sz w:val="24"/>
        </w:rPr>
      </w:pPr>
      <w:r>
        <w:rPr>
          <w:sz w:val="24"/>
        </w:rPr>
        <w:t>2015. évi EU MENU pályázat maradvány személyi juttatás és munkaadót terhelő járulék jogcímeken fel nem használt, 2017. évre áthúzódó maradványa: 6,4 millió Ft.</w:t>
      </w:r>
    </w:p>
    <w:p w:rsidR="009D6AC0" w:rsidRPr="0039781D" w:rsidRDefault="009D6AC0" w:rsidP="009D6AC0">
      <w:pPr>
        <w:rPr>
          <w:highlight w:val="yellow"/>
        </w:rPr>
      </w:pPr>
    </w:p>
    <w:p w:rsidR="001D07E4" w:rsidRDefault="001D07E4" w:rsidP="009D6AC0">
      <w:pPr>
        <w:rPr>
          <w:b/>
        </w:rPr>
      </w:pPr>
    </w:p>
    <w:p w:rsidR="009D6AC0" w:rsidRPr="008E3BFE" w:rsidRDefault="009D6AC0" w:rsidP="009D6AC0">
      <w:r w:rsidRPr="008E3BFE">
        <w:rPr>
          <w:b/>
        </w:rPr>
        <w:lastRenderedPageBreak/>
        <w:t>Dologi kiadások (</w:t>
      </w:r>
      <w:r w:rsidRPr="008E3BFE">
        <w:t>összesen: 1.277,9 millió Ft)</w:t>
      </w:r>
    </w:p>
    <w:p w:rsidR="009D6AC0" w:rsidRPr="008E3BFE" w:rsidRDefault="009D6AC0" w:rsidP="009D6AC0">
      <w:pPr>
        <w:pStyle w:val="Listaszerbekezds"/>
        <w:numPr>
          <w:ilvl w:val="0"/>
          <w:numId w:val="3"/>
        </w:numPr>
        <w:rPr>
          <w:sz w:val="24"/>
        </w:rPr>
      </w:pPr>
      <w:r w:rsidRPr="008E3BFE">
        <w:rPr>
          <w:sz w:val="24"/>
        </w:rPr>
        <w:t>Készletbeszerzés (szakmai anyag- és vegyszerbeszerzés, szakmai nyomtatvány beszerzés, védőruha, irodai-, sokszorosítási anyagok, hajtó- kenőanyag, karbantartási anyagok, faiskolai címkék, stb.): 137,8 millió Ft</w:t>
      </w:r>
    </w:p>
    <w:p w:rsidR="009D6AC0" w:rsidRPr="008E3BFE" w:rsidRDefault="009D6AC0" w:rsidP="009D6AC0">
      <w:pPr>
        <w:pStyle w:val="Listaszerbekezds"/>
        <w:numPr>
          <w:ilvl w:val="0"/>
          <w:numId w:val="4"/>
        </w:numPr>
        <w:rPr>
          <w:sz w:val="24"/>
        </w:rPr>
      </w:pPr>
      <w:r w:rsidRPr="008E3BFE">
        <w:rPr>
          <w:sz w:val="24"/>
        </w:rPr>
        <w:t>Kommunikációs és egyéb szolgáltatási kiadások (közüzemi díjak, adatátviteli, nem adatátviteli és egyéb kommunikációs szolgáltatások, karbantartási, javítási kiadások, szakmai szolgáltatások, gépjármű-flottaüzemeltetési kiadások, egyéb üzemeltetési kiadások, jogosult állatorvosi tevékenység finanszírozása, kiküldetés, reklám kiadások stb.): 861,0 millió Ft</w:t>
      </w:r>
    </w:p>
    <w:p w:rsidR="009D6AC0" w:rsidRPr="008E3BFE" w:rsidRDefault="009D6AC0" w:rsidP="009D6AC0">
      <w:pPr>
        <w:pStyle w:val="Listaszerbekezds"/>
        <w:numPr>
          <w:ilvl w:val="0"/>
          <w:numId w:val="3"/>
        </w:numPr>
      </w:pPr>
      <w:r w:rsidRPr="008E3BFE">
        <w:rPr>
          <w:sz w:val="24"/>
        </w:rPr>
        <w:t xml:space="preserve">Különféle befizetések és egyéb dologi kiadások (általános forgalmi adó, egyéb dologi kiadások, stb.): 279,1 millió </w:t>
      </w:r>
      <w:proofErr w:type="spellStart"/>
      <w:r w:rsidRPr="008E3BFE">
        <w:rPr>
          <w:sz w:val="24"/>
        </w:rPr>
        <w:t>ft</w:t>
      </w:r>
      <w:proofErr w:type="spellEnd"/>
      <w:r w:rsidRPr="008E3BFE">
        <w:rPr>
          <w:sz w:val="24"/>
        </w:rPr>
        <w:t xml:space="preserve"> </w:t>
      </w:r>
    </w:p>
    <w:p w:rsidR="009D6AC0" w:rsidRPr="00A40549" w:rsidRDefault="009D6AC0" w:rsidP="009D6AC0">
      <w:pPr>
        <w:pStyle w:val="Listaszerbekezds"/>
        <w:numPr>
          <w:ilvl w:val="0"/>
          <w:numId w:val="3"/>
        </w:numPr>
        <w:rPr>
          <w:sz w:val="24"/>
        </w:rPr>
      </w:pPr>
      <w:r>
        <w:rPr>
          <w:sz w:val="24"/>
        </w:rPr>
        <w:t>2015. évi EU MENU pályázat maradvány dologi kiadások jogcímen fel nem használt, 2017. évre áthúzódó maradványa: 10,1 millió Ft.</w:t>
      </w:r>
    </w:p>
    <w:p w:rsidR="009D6AC0" w:rsidRPr="0039781D" w:rsidRDefault="009D6AC0" w:rsidP="009D6AC0">
      <w:pPr>
        <w:pStyle w:val="Listaszerbekezds"/>
        <w:ind w:firstLine="0"/>
        <w:rPr>
          <w:highlight w:val="yellow"/>
        </w:rPr>
      </w:pPr>
    </w:p>
    <w:p w:rsidR="009D6AC0" w:rsidRPr="00505C5A" w:rsidRDefault="009D6AC0" w:rsidP="009D6AC0">
      <w:r w:rsidRPr="00505C5A">
        <w:rPr>
          <w:b/>
        </w:rPr>
        <w:t>A maradvány felhasználás feladatonként</w:t>
      </w:r>
      <w:r w:rsidRPr="00505C5A">
        <w:t xml:space="preserve">: </w:t>
      </w:r>
    </w:p>
    <w:p w:rsidR="009D6AC0" w:rsidRPr="00505C5A" w:rsidRDefault="009D6AC0" w:rsidP="009D6AC0"/>
    <w:tbl>
      <w:tblPr>
        <w:tblW w:w="9072" w:type="dxa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126"/>
      </w:tblGrid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  <w:rPr>
                <w:u w:val="single"/>
              </w:rPr>
            </w:pPr>
            <w:r w:rsidRPr="00505C5A">
              <w:t>MVH DSZ szerződések maradványa: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  <w:rPr>
                <w:u w:val="single"/>
              </w:rPr>
            </w:pPr>
            <w:r w:rsidRPr="00505C5A">
              <w:t xml:space="preserve"> 0,2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proofErr w:type="spellStart"/>
            <w:r w:rsidRPr="00505C5A">
              <w:t>Focal</w:t>
            </w:r>
            <w:proofErr w:type="spellEnd"/>
            <w:r w:rsidRPr="00505C5A">
              <w:t xml:space="preserve"> </w:t>
            </w:r>
            <w:proofErr w:type="spellStart"/>
            <w:r w:rsidRPr="00505C5A">
              <w:t>Point</w:t>
            </w:r>
            <w:proofErr w:type="spellEnd"/>
            <w:r w:rsidRPr="00505C5A">
              <w:t xml:space="preserve"> pályázat maradványa: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0,2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Helyi termék éve maradvány: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0,6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EU MENU pályázat maradvány: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4,6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FIRELIFE pályázat maradvány: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26,4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Visszaérkezett állatkártalanítások maradványa: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13,0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Ártalmatlanítás (ATEV) maradvány: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0,3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Aranykorona kártalanítás maradvány: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0,3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 xml:space="preserve">148/2007 FVM </w:t>
            </w:r>
            <w:proofErr w:type="spellStart"/>
            <w:r w:rsidRPr="00505C5A">
              <w:t>rend.maradványa</w:t>
            </w:r>
            <w:proofErr w:type="spellEnd"/>
            <w:r w:rsidRPr="00505C5A">
              <w:t>:</w:t>
            </w:r>
          </w:p>
        </w:tc>
        <w:tc>
          <w:tcPr>
            <w:tcW w:w="2126" w:type="dxa"/>
            <w:vAlign w:val="bottom"/>
          </w:tcPr>
          <w:p w:rsidR="009D6AC0" w:rsidRPr="00505C5A" w:rsidRDefault="009D6AC0" w:rsidP="009D6AC0">
            <w:pPr>
              <w:jc w:val="right"/>
            </w:pPr>
            <w:r w:rsidRPr="00505C5A">
              <w:t>0,1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Időjárási kockázatkezelési rendszer fejlesztésére kapott támogatás felhasználása:</w:t>
            </w:r>
          </w:p>
        </w:tc>
        <w:tc>
          <w:tcPr>
            <w:tcW w:w="2126" w:type="dxa"/>
            <w:vAlign w:val="bottom"/>
          </w:tcPr>
          <w:p w:rsidR="009D6AC0" w:rsidRPr="00505C5A" w:rsidRDefault="009D6AC0" w:rsidP="009D6AC0">
            <w:pPr>
              <w:jc w:val="right"/>
            </w:pPr>
            <w:r w:rsidRPr="00505C5A">
              <w:t>42,2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OTKA bevételből év végéig fel nem használt rész:</w:t>
            </w:r>
          </w:p>
        </w:tc>
        <w:tc>
          <w:tcPr>
            <w:tcW w:w="2126" w:type="dxa"/>
            <w:vAlign w:val="bottom"/>
          </w:tcPr>
          <w:p w:rsidR="009D6AC0" w:rsidRPr="00505C5A" w:rsidRDefault="009D6AC0" w:rsidP="009D6AC0">
            <w:pPr>
              <w:jc w:val="right"/>
            </w:pPr>
            <w:r w:rsidRPr="00505C5A">
              <w:t>10,2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</w:pPr>
            <w:r w:rsidRPr="00505C5A">
              <w:t>2015. évi jogosult állatorvosi tevékenység végzésére történő kifizetések szerződés alapján: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24,8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  <w:rPr>
                <w:u w:val="single"/>
              </w:rPr>
            </w:pPr>
            <w:r w:rsidRPr="00505C5A">
              <w:t>2015. évi megyei labor-rezsi kiadások megtérítése: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  <w:rPr>
                <w:u w:val="single"/>
              </w:rPr>
            </w:pPr>
            <w:r w:rsidRPr="00505C5A">
              <w:t>2,5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  <w:rPr>
                <w:u w:val="single"/>
              </w:rPr>
            </w:pPr>
            <w:r w:rsidRPr="00505C5A">
              <w:t>Állami halászati őrök egyenruha beszerzésére kapott forrás: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  <w:rPr>
                <w:u w:val="single"/>
              </w:rPr>
            </w:pPr>
            <w:r w:rsidRPr="00505C5A">
              <w:t>16,0 millió Ft</w:t>
            </w:r>
          </w:p>
        </w:tc>
      </w:tr>
      <w:tr w:rsidR="009D6AC0" w:rsidRPr="00505C5A" w:rsidTr="009D6AC0">
        <w:tc>
          <w:tcPr>
            <w:tcW w:w="6946" w:type="dxa"/>
          </w:tcPr>
          <w:p w:rsidR="009D6AC0" w:rsidRPr="00505C5A" w:rsidRDefault="009D6AC0" w:rsidP="009D6AC0">
            <w:pPr>
              <w:jc w:val="left"/>
              <w:rPr>
                <w:u w:val="single"/>
              </w:rPr>
            </w:pPr>
            <w:r w:rsidRPr="00505C5A">
              <w:t>Turista állami horgászjegy és fogási napló bevétel áthúzódó felhasználása:</w:t>
            </w:r>
          </w:p>
        </w:tc>
        <w:tc>
          <w:tcPr>
            <w:tcW w:w="2126" w:type="dxa"/>
            <w:vAlign w:val="center"/>
          </w:tcPr>
          <w:p w:rsidR="009D6AC0" w:rsidRPr="00505C5A" w:rsidRDefault="009D6AC0" w:rsidP="009D6AC0">
            <w:pPr>
              <w:jc w:val="right"/>
              <w:rPr>
                <w:u w:val="single"/>
              </w:rPr>
            </w:pPr>
            <w:r w:rsidRPr="00505C5A">
              <w:t>31,3 millió Ft</w:t>
            </w:r>
          </w:p>
        </w:tc>
      </w:tr>
      <w:tr w:rsidR="009D6AC0" w:rsidRPr="00505C5A" w:rsidTr="009D6AC0">
        <w:tc>
          <w:tcPr>
            <w:tcW w:w="6946" w:type="dxa"/>
            <w:tcBorders>
              <w:bottom w:val="single" w:sz="4" w:space="0" w:color="auto"/>
            </w:tcBorders>
          </w:tcPr>
          <w:p w:rsidR="009D6AC0" w:rsidRPr="00505C5A" w:rsidRDefault="009D6AC0" w:rsidP="009D6AC0">
            <w:pPr>
              <w:jc w:val="left"/>
            </w:pPr>
            <w:r w:rsidRPr="00505C5A">
              <w:t>Állami halőr szolgálat maradványa: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31,6 millió Ft</w:t>
            </w:r>
          </w:p>
        </w:tc>
      </w:tr>
      <w:tr w:rsidR="009D6AC0" w:rsidRPr="00505C5A" w:rsidTr="009D6AC0">
        <w:tc>
          <w:tcPr>
            <w:tcW w:w="6946" w:type="dxa"/>
            <w:tcBorders>
              <w:bottom w:val="single" w:sz="4" w:space="0" w:color="auto"/>
            </w:tcBorders>
          </w:tcPr>
          <w:p w:rsidR="009D6AC0" w:rsidRPr="00505C5A" w:rsidRDefault="009D6AC0" w:rsidP="009D6AC0">
            <w:pPr>
              <w:jc w:val="left"/>
            </w:pPr>
            <w:r w:rsidRPr="00505C5A">
              <w:t>2015-ben megrendelt, visszaigazolt kiadásokra, 2015. évi szerződésekre, ill. felügyeleti díjbevételből 2016-ban felhasznált rész: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D6AC0" w:rsidRPr="00505C5A" w:rsidRDefault="009D6AC0" w:rsidP="009D6AC0">
            <w:pPr>
              <w:jc w:val="right"/>
            </w:pPr>
            <w:r w:rsidRPr="00505C5A">
              <w:t>1.723,8 millió Ft</w:t>
            </w:r>
          </w:p>
        </w:tc>
      </w:tr>
      <w:tr w:rsidR="009D6AC0" w:rsidRPr="001356F7" w:rsidTr="009D6AC0">
        <w:tc>
          <w:tcPr>
            <w:tcW w:w="6946" w:type="dxa"/>
            <w:tcBorders>
              <w:top w:val="single" w:sz="4" w:space="0" w:color="auto"/>
              <w:bottom w:val="nil"/>
              <w:right w:val="nil"/>
            </w:tcBorders>
          </w:tcPr>
          <w:p w:rsidR="009D6AC0" w:rsidRPr="00505C5A" w:rsidRDefault="009D6AC0" w:rsidP="009D6AC0">
            <w:pPr>
              <w:jc w:val="left"/>
              <w:rPr>
                <w:b/>
              </w:rPr>
            </w:pPr>
            <w:r w:rsidRPr="00505C5A">
              <w:rPr>
                <w:b/>
              </w:rPr>
              <w:t>Mindösszesen: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9D6AC0" w:rsidRPr="001356F7" w:rsidRDefault="009D6AC0" w:rsidP="009D6AC0">
            <w:pPr>
              <w:ind w:left="-249"/>
              <w:jc w:val="right"/>
              <w:rPr>
                <w:b/>
              </w:rPr>
            </w:pPr>
            <w:r w:rsidRPr="00505C5A">
              <w:rPr>
                <w:b/>
              </w:rPr>
              <w:t>1.928,1 millió Ft</w:t>
            </w:r>
          </w:p>
        </w:tc>
      </w:tr>
    </w:tbl>
    <w:p w:rsidR="009D6AC0" w:rsidRDefault="009D6AC0" w:rsidP="009D6AC0"/>
    <w:p w:rsidR="009D6AC0" w:rsidRPr="00537A1B" w:rsidRDefault="009D6AC0" w:rsidP="009D6AC0"/>
    <w:p w:rsidR="009D6AC0" w:rsidRPr="0063488A" w:rsidRDefault="009D6AC0" w:rsidP="009D6AC0">
      <w:pPr>
        <w:rPr>
          <w:b/>
        </w:rPr>
      </w:pPr>
      <w:r>
        <w:rPr>
          <w:b/>
        </w:rPr>
        <w:t>A 2016. évi maradvány: 2</w:t>
      </w:r>
      <w:r w:rsidRPr="00BE6058">
        <w:rPr>
          <w:b/>
        </w:rPr>
        <w:t>.</w:t>
      </w:r>
      <w:r>
        <w:rPr>
          <w:b/>
        </w:rPr>
        <w:t>215</w:t>
      </w:r>
      <w:r w:rsidRPr="00BE6058">
        <w:rPr>
          <w:b/>
        </w:rPr>
        <w:t>.</w:t>
      </w:r>
      <w:r>
        <w:rPr>
          <w:b/>
        </w:rPr>
        <w:t xml:space="preserve">068 ezer Ft, </w:t>
      </w:r>
      <w:r w:rsidRPr="0063488A">
        <w:rPr>
          <w:b/>
        </w:rPr>
        <w:t>teljes összegében kötelezettségvállalással terhelt.</w:t>
      </w:r>
    </w:p>
    <w:p w:rsidR="009D6AC0" w:rsidRPr="0063488A" w:rsidRDefault="009D6AC0" w:rsidP="009D6AC0">
      <w:pPr>
        <w:rPr>
          <w:b/>
        </w:rPr>
      </w:pPr>
    </w:p>
    <w:p w:rsidR="009D6AC0" w:rsidRDefault="009D6AC0" w:rsidP="009D6AC0">
      <w:r>
        <w:t xml:space="preserve">A 2015. évinél magasabb összegű maradvány kialakulásának oka, hogy a KÖFOP-1.0.0-VEKOP-15-2016-00016 szerződés számú, Intelligens élelmiszerlánc-biztonsági elemző rendszer létrehozása (INTEL) című projekt keretében a Miniszterelnökség Közigazgatási Programok Lebonyolítási Főosztálya szállítói finanszírozással megelőlegezett a T-Systems Magyarország részére 1.725.295.000 Ft összeget 2016. decemberben, amely összeget a </w:t>
      </w:r>
      <w:r>
        <w:lastRenderedPageBreak/>
        <w:t xml:space="preserve">NÉBIH felhalmozási célú bevételként a beszámolóban szerepeltetett.  E maradvány tehát az uniós projekt </w:t>
      </w:r>
      <w:r w:rsidR="001A0838">
        <w:t xml:space="preserve">költségvetési számviteli </w:t>
      </w:r>
      <w:r>
        <w:t xml:space="preserve">elszámolási előírásainak következménye. </w:t>
      </w:r>
    </w:p>
    <w:p w:rsidR="009D6AC0" w:rsidRDefault="009D6AC0" w:rsidP="009D6AC0"/>
    <w:p w:rsidR="009D6AC0" w:rsidRPr="00BE6058" w:rsidRDefault="009D6AC0" w:rsidP="009D6AC0">
      <w:r>
        <w:t xml:space="preserve">A NÉBIH </w:t>
      </w:r>
      <w:r w:rsidR="001A0838">
        <w:t>„</w:t>
      </w:r>
      <w:r>
        <w:t>normál</w:t>
      </w:r>
      <w:r w:rsidR="001A0838">
        <w:t>”</w:t>
      </w:r>
      <w:r>
        <w:t xml:space="preserve"> működéséből keletkezett maradvány mindösszesen 489.773 ezer Ft, megfelelően a maradványcsökkentési elvárásoknak. </w:t>
      </w:r>
    </w:p>
    <w:p w:rsidR="009D6AC0" w:rsidRDefault="009D6AC0" w:rsidP="009D6AC0"/>
    <w:p w:rsidR="009D6AC0" w:rsidRPr="009D6AC0" w:rsidRDefault="009D6AC0" w:rsidP="009D6AC0">
      <w:r w:rsidRPr="009D6AC0">
        <w:t>A maradvány kialakulásának okai</w:t>
      </w:r>
      <w:r>
        <w:t xml:space="preserve"> az INTEL projekten felül</w:t>
      </w:r>
      <w:r w:rsidRPr="009D6AC0">
        <w:t xml:space="preserve">: </w:t>
      </w:r>
    </w:p>
    <w:p w:rsidR="009D6AC0" w:rsidRPr="00537A1B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>
        <w:rPr>
          <w:sz w:val="24"/>
        </w:rPr>
        <w:t>A 2013. évi CII. törvény alapján a fogási napló és fogási tanúsítvány, valamint a turista állami horgászjegy díja a törvény által meghatározott kiadásokra fordítható.</w:t>
      </w:r>
    </w:p>
    <w:p w:rsidR="009D6AC0" w:rsidRPr="00916033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 w:rsidRPr="00537A1B">
        <w:rPr>
          <w:sz w:val="24"/>
        </w:rPr>
        <w:t>A megyei labor rezsi kiadások megtérítése tárgyában kötött megállapodások 201</w:t>
      </w:r>
      <w:r>
        <w:rPr>
          <w:sz w:val="24"/>
        </w:rPr>
        <w:t>6</w:t>
      </w:r>
      <w:r w:rsidRPr="00537A1B">
        <w:rPr>
          <w:sz w:val="24"/>
        </w:rPr>
        <w:t>. év</w:t>
      </w:r>
      <w:r>
        <w:rPr>
          <w:sz w:val="24"/>
        </w:rPr>
        <w:t>re vonatkozó továbbszámlázásai 2016. év végén, 2017. év elején történtek meg</w:t>
      </w:r>
      <w:r w:rsidRPr="00537A1B">
        <w:rPr>
          <w:sz w:val="24"/>
        </w:rPr>
        <w:t>,</w:t>
      </w:r>
      <w:r>
        <w:rPr>
          <w:sz w:val="24"/>
        </w:rPr>
        <w:t xml:space="preserve"> így a kifizetés áthúzódott 2017</w:t>
      </w:r>
      <w:r w:rsidRPr="00537A1B">
        <w:rPr>
          <w:sz w:val="24"/>
        </w:rPr>
        <w:t>-r</w:t>
      </w:r>
      <w:r>
        <w:rPr>
          <w:sz w:val="24"/>
        </w:rPr>
        <w:t>e</w:t>
      </w:r>
      <w:r w:rsidRPr="00537A1B">
        <w:rPr>
          <w:sz w:val="24"/>
        </w:rPr>
        <w:t>.</w:t>
      </w:r>
    </w:p>
    <w:p w:rsidR="009D6AC0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>
        <w:rPr>
          <w:sz w:val="24"/>
        </w:rPr>
        <w:t>Az időjárási kockázatkezelési rendszer fejlesztésére, a sertés nyilvántartási rendszer fejlesztésére, az erdészeti tájak szakkönyvre 2016. évben nyújtott források felhasználásának pénzügyi rendezése áthúzódik 2017. évre.</w:t>
      </w:r>
    </w:p>
    <w:p w:rsidR="009D6AC0" w:rsidRPr="00357BCF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Több pályázat: EU Menü, </w:t>
      </w:r>
      <w:proofErr w:type="spellStart"/>
      <w:r>
        <w:rPr>
          <w:sz w:val="24"/>
        </w:rPr>
        <w:t>Focal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  <w:r>
        <w:rPr>
          <w:sz w:val="24"/>
        </w:rPr>
        <w:t>, FIRELIFE, EAVI2020, WASTELIFE, és projekt: VIZEK bevételének felhasználása áthúzódik a további évekre.</w:t>
      </w:r>
    </w:p>
    <w:p w:rsidR="009D6AC0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>
        <w:rPr>
          <w:sz w:val="24"/>
        </w:rPr>
        <w:t>A jogosult állatorvosi tevékenység elvégzéséről szóló szerződések év végi teljesítéseinek pénzügyi rendezése áthúzódott 2017. évre.</w:t>
      </w:r>
    </w:p>
    <w:p w:rsidR="009D6AC0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>
        <w:rPr>
          <w:sz w:val="24"/>
        </w:rPr>
        <w:t>A megbízási szerződések keretében decemberben elvégzett feladatok teljesítésigazolása és a pénzügyi rendezés 2017. évben történt meg.</w:t>
      </w:r>
    </w:p>
    <w:p w:rsidR="009D6AC0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>
        <w:rPr>
          <w:sz w:val="24"/>
        </w:rPr>
        <w:t>2016. év végén lakáskölcsön folyósításáról szóló döntések és megállapodások készültek, amelyek 2017. évben teljesülnek.</w:t>
      </w:r>
    </w:p>
    <w:p w:rsidR="009D6AC0" w:rsidRPr="00D856DA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>
        <w:rPr>
          <w:sz w:val="24"/>
        </w:rPr>
        <w:t>A 2016. évi szerződések év végi teljesítéseinek pénzügyi rendezése áthúzódott 2017. évre.</w:t>
      </w:r>
    </w:p>
    <w:p w:rsidR="009D6AC0" w:rsidRPr="00537A1B" w:rsidRDefault="009D6AC0" w:rsidP="009D6AC0">
      <w:pPr>
        <w:pStyle w:val="Listaszerbekezds"/>
        <w:numPr>
          <w:ilvl w:val="0"/>
          <w:numId w:val="1"/>
        </w:numPr>
        <w:rPr>
          <w:sz w:val="24"/>
        </w:rPr>
      </w:pPr>
      <w:r w:rsidRPr="00537A1B">
        <w:rPr>
          <w:sz w:val="24"/>
        </w:rPr>
        <w:t>Az év végén megrendelt és visszaigazolt beszerzés teljesítése 201</w:t>
      </w:r>
      <w:r>
        <w:rPr>
          <w:sz w:val="24"/>
        </w:rPr>
        <w:t>7-be</w:t>
      </w:r>
      <w:r w:rsidRPr="00537A1B">
        <w:rPr>
          <w:sz w:val="24"/>
        </w:rPr>
        <w:t>n történt meg.</w:t>
      </w:r>
    </w:p>
    <w:p w:rsidR="009D6AC0" w:rsidRPr="00537A1B" w:rsidRDefault="009D6AC0" w:rsidP="009D6AC0"/>
    <w:p w:rsidR="009D6AC0" w:rsidRDefault="009D6AC0" w:rsidP="009D6AC0">
      <w:r w:rsidRPr="00537A1B">
        <w:t>A maradványt terhelő kötelezettségeket többféle szempont alapján lehet csoportosítani.</w:t>
      </w:r>
    </w:p>
    <w:p w:rsidR="009D6AC0" w:rsidRPr="00537A1B" w:rsidRDefault="009D6AC0" w:rsidP="009D6AC0"/>
    <w:p w:rsidR="009D6AC0" w:rsidRPr="00537A1B" w:rsidRDefault="009D6AC0" w:rsidP="009D6AC0">
      <w:proofErr w:type="gramStart"/>
      <w:r>
        <w:t>a</w:t>
      </w:r>
      <w:proofErr w:type="gramEnd"/>
      <w:r w:rsidRPr="00537A1B">
        <w:t>) kiemelt kiadási előirányzatok szerint: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>– személyi juttatás: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  <w:rPr>
                <w:u w:val="single"/>
              </w:rPr>
            </w:pPr>
            <w:r>
              <w:t>99,7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>– munkaadókat terhelő járulék: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  <w:rPr>
                <w:u w:val="single"/>
              </w:rPr>
            </w:pPr>
            <w:r>
              <w:t>17,7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>– dologi kiadások: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  <w:rPr>
                <w:u w:val="single"/>
              </w:rPr>
            </w:pPr>
            <w:r>
              <w:t>221,4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 xml:space="preserve">– </w:t>
            </w:r>
            <w:r>
              <w:t xml:space="preserve">egyéb </w:t>
            </w:r>
            <w:r w:rsidRPr="00537A1B">
              <w:t xml:space="preserve">működési célú </w:t>
            </w:r>
            <w:r>
              <w:t>kiadás</w:t>
            </w:r>
            <w:r w:rsidRPr="00537A1B">
              <w:t>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</w:pPr>
            <w:r>
              <w:t>28,5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>– intézményi beruházási kiadások: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  <w:rPr>
                <w:u w:val="single"/>
              </w:rPr>
            </w:pPr>
            <w:r>
              <w:t>1.837,8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 xml:space="preserve">– </w:t>
            </w:r>
            <w:r>
              <w:t>egyéb felhalmozási</w:t>
            </w:r>
            <w:r w:rsidRPr="00537A1B">
              <w:t xml:space="preserve"> célú </w:t>
            </w:r>
            <w:r>
              <w:t>kiadás</w:t>
            </w:r>
            <w:r w:rsidRPr="00537A1B">
              <w:t>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</w:pPr>
            <w:r>
              <w:t>10,0</w:t>
            </w:r>
            <w:r w:rsidRPr="00537A1B">
              <w:t xml:space="preserve"> millió Ft</w:t>
            </w:r>
          </w:p>
        </w:tc>
      </w:tr>
    </w:tbl>
    <w:p w:rsidR="009D6AC0" w:rsidRDefault="009D6AC0" w:rsidP="009D6AC0"/>
    <w:p w:rsidR="009D6AC0" w:rsidRPr="00537A1B" w:rsidRDefault="009D6AC0" w:rsidP="009D6AC0">
      <w:pPr>
        <w:rPr>
          <w:u w:val="single"/>
        </w:rPr>
      </w:pPr>
      <w:r>
        <w:t>b</w:t>
      </w:r>
      <w:r w:rsidRPr="00537A1B">
        <w:t>) származási hely szerint: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2725"/>
      </w:tblGrid>
      <w:tr w:rsidR="009D6AC0" w:rsidRPr="00537A1B" w:rsidTr="009D6AC0">
        <w:tc>
          <w:tcPr>
            <w:tcW w:w="6487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>– intézményi költségvetés maradványa:</w:t>
            </w:r>
          </w:p>
        </w:tc>
        <w:tc>
          <w:tcPr>
            <w:tcW w:w="2725" w:type="dxa"/>
            <w:vAlign w:val="center"/>
          </w:tcPr>
          <w:p w:rsidR="009D6AC0" w:rsidRPr="00537A1B" w:rsidRDefault="009D6AC0" w:rsidP="009D6AC0">
            <w:pPr>
              <w:jc w:val="right"/>
              <w:rPr>
                <w:u w:val="single"/>
              </w:rPr>
            </w:pPr>
            <w:r>
              <w:t>202,4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6487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 xml:space="preserve">– </w:t>
            </w:r>
            <w:r>
              <w:t xml:space="preserve">egyéb </w:t>
            </w:r>
            <w:r w:rsidRPr="00537A1B">
              <w:t>fejezeti kezelésű előirányzat maradványa:</w:t>
            </w:r>
          </w:p>
        </w:tc>
        <w:tc>
          <w:tcPr>
            <w:tcW w:w="2725" w:type="dxa"/>
            <w:vAlign w:val="center"/>
          </w:tcPr>
          <w:p w:rsidR="009D6AC0" w:rsidRPr="00537A1B" w:rsidRDefault="009D6AC0" w:rsidP="009D6AC0">
            <w:pPr>
              <w:jc w:val="right"/>
              <w:rPr>
                <w:u w:val="single"/>
              </w:rPr>
            </w:pPr>
            <w:r>
              <w:t>167,0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6487" w:type="dxa"/>
          </w:tcPr>
          <w:p w:rsidR="009D6AC0" w:rsidRPr="00537A1B" w:rsidRDefault="009D6AC0" w:rsidP="009D6AC0">
            <w:pPr>
              <w:jc w:val="left"/>
            </w:pPr>
            <w:r w:rsidRPr="00537A1B">
              <w:t xml:space="preserve">– </w:t>
            </w:r>
            <w:r>
              <w:t xml:space="preserve">EU-s programokra és azok hazai társfinanszírozására </w:t>
            </w:r>
            <w:r w:rsidRPr="00537A1B">
              <w:t>fejezeti kezelésű előirányzat</w:t>
            </w:r>
            <w:r>
              <w:t>ok</w:t>
            </w:r>
            <w:r w:rsidRPr="00537A1B">
              <w:t xml:space="preserve"> maradványa:</w:t>
            </w:r>
          </w:p>
        </w:tc>
        <w:tc>
          <w:tcPr>
            <w:tcW w:w="2725" w:type="dxa"/>
            <w:vAlign w:val="center"/>
          </w:tcPr>
          <w:p w:rsidR="009D6AC0" w:rsidRDefault="009D6AC0" w:rsidP="009D6AC0">
            <w:pPr>
              <w:jc w:val="right"/>
            </w:pPr>
            <w:r>
              <w:t>1.845,7 millió Ft</w:t>
            </w:r>
          </w:p>
        </w:tc>
      </w:tr>
    </w:tbl>
    <w:p w:rsidR="009D6AC0" w:rsidRDefault="009D6AC0" w:rsidP="009D6AC0"/>
    <w:p w:rsidR="009D6AC0" w:rsidRPr="00537A1B" w:rsidRDefault="009D6AC0" w:rsidP="009D6AC0">
      <w:r>
        <w:t>c</w:t>
      </w:r>
      <w:r w:rsidRPr="00537A1B">
        <w:t>) keletkezés éve szerint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>– előző évek maradványa: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</w:pPr>
            <w:r>
              <w:t>16,5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4606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t>– tárgyévben keletkezett maradvány:</w:t>
            </w:r>
          </w:p>
        </w:tc>
        <w:tc>
          <w:tcPr>
            <w:tcW w:w="4606" w:type="dxa"/>
            <w:vAlign w:val="center"/>
          </w:tcPr>
          <w:p w:rsidR="009D6AC0" w:rsidRPr="00537A1B" w:rsidRDefault="009D6AC0" w:rsidP="009D6AC0">
            <w:pPr>
              <w:jc w:val="right"/>
            </w:pPr>
            <w:r>
              <w:t>2.198,6</w:t>
            </w:r>
            <w:r w:rsidRPr="00537A1B">
              <w:t xml:space="preserve"> millió Ft</w:t>
            </w:r>
          </w:p>
        </w:tc>
      </w:tr>
    </w:tbl>
    <w:p w:rsidR="009D6AC0" w:rsidRPr="00537A1B" w:rsidRDefault="009D6AC0" w:rsidP="009D6AC0">
      <w:pPr>
        <w:jc w:val="right"/>
      </w:pPr>
    </w:p>
    <w:p w:rsidR="009D6AC0" w:rsidRPr="00C54C91" w:rsidRDefault="009D6AC0" w:rsidP="009D6AC0">
      <w:pPr>
        <w:rPr>
          <w:b/>
        </w:rPr>
      </w:pPr>
      <w:r w:rsidRPr="00C54C91">
        <w:rPr>
          <w:b/>
        </w:rPr>
        <w:t>A maradványt terhelő kötelezettségek tételesen: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7479"/>
        <w:gridCol w:w="1701"/>
      </w:tblGrid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 PÉP IV. n. évre</w:t>
            </w:r>
            <w:r>
              <w:t xml:space="preserve"> kapott támogatásból 2017</w:t>
            </w:r>
            <w:r w:rsidRPr="00537A1B">
              <w:t>. januárban felhasznált összeg:</w:t>
            </w:r>
          </w:p>
        </w:tc>
        <w:tc>
          <w:tcPr>
            <w:tcW w:w="1701" w:type="dxa"/>
            <w:vAlign w:val="center"/>
          </w:tcPr>
          <w:p w:rsidR="009D6AC0" w:rsidRPr="00537A1B" w:rsidRDefault="009D6AC0" w:rsidP="009D6AC0">
            <w:pPr>
              <w:jc w:val="right"/>
            </w:pPr>
            <w:r>
              <w:t>1,7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  <w:rPr>
                <w:u w:val="single"/>
              </w:rPr>
            </w:pPr>
            <w:r w:rsidRPr="00537A1B">
              <w:lastRenderedPageBreak/>
              <w:t xml:space="preserve">– </w:t>
            </w:r>
            <w:r>
              <w:t>bérkompenzáció 2017. év elején felhasznált összeg</w:t>
            </w:r>
            <w:r w:rsidRPr="00537A1B">
              <w:t>:</w:t>
            </w:r>
          </w:p>
        </w:tc>
        <w:tc>
          <w:tcPr>
            <w:tcW w:w="1701" w:type="dxa"/>
            <w:vAlign w:val="center"/>
          </w:tcPr>
          <w:p w:rsidR="009D6AC0" w:rsidRPr="00537A1B" w:rsidRDefault="009D6AC0" w:rsidP="009D6AC0">
            <w:pPr>
              <w:jc w:val="right"/>
              <w:rPr>
                <w:u w:val="single"/>
              </w:rPr>
            </w:pPr>
            <w:r>
              <w:t>2,8</w:t>
            </w:r>
            <w:r w:rsidRPr="00537A1B">
              <w:t xml:space="preserve">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</w:t>
            </w:r>
            <w:r>
              <w:t xml:space="preserve"> 2016.decemberi megbízási díjak: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>
              <w:t>4,3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</w:t>
            </w:r>
            <w:r>
              <w:t xml:space="preserve"> végkielégítés: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>
              <w:t>40,2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</w:t>
            </w:r>
            <w:r>
              <w:t xml:space="preserve"> 2016.IV.név. megtakarítás üres álláshelyek miatt</w:t>
            </w:r>
            <w:proofErr w:type="gramStart"/>
            <w:r>
              <w:t>,visszafizetés</w:t>
            </w:r>
            <w:proofErr w:type="gramEnd"/>
            <w:r>
              <w:t xml:space="preserve"> 2017-ben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>
              <w:t>7,8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</w:t>
            </w:r>
            <w:r>
              <w:t xml:space="preserve"> 2016.évi megrendelt, visszaigazolt, 2017-re áthúzódó szállítói kifizetés madárinfluenza járvánnyal összefüggésben: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>
              <w:t>34,9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</w:pPr>
            <w:r w:rsidRPr="00FA14DC">
              <w:t>– 2016-ban megrendelt, visszaigazolt kiadásokra, 2016. évi szerződésekre, valamint felügyeleti díjbevételből egyéb fel nem használt rész: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 w:rsidRPr="00FA14DC">
              <w:t>89,5 millió Ft</w:t>
            </w:r>
          </w:p>
        </w:tc>
      </w:tr>
      <w:tr w:rsidR="009D6AC0" w:rsidRPr="00FA14DC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</w:pPr>
            <w:r w:rsidRPr="00FA14DC">
              <w:t>– sertés nyilvántartási rendszer fejlesztésére kapott támogatás:</w:t>
            </w:r>
          </w:p>
        </w:tc>
        <w:tc>
          <w:tcPr>
            <w:tcW w:w="1701" w:type="dxa"/>
            <w:vAlign w:val="bottom"/>
          </w:tcPr>
          <w:p w:rsidR="009D6AC0" w:rsidRPr="00FA14DC" w:rsidRDefault="009D6AC0" w:rsidP="009D6AC0">
            <w:pPr>
              <w:jc w:val="right"/>
            </w:pPr>
            <w:r w:rsidRPr="00FA14DC">
              <w:t>61,0 millió Ft</w:t>
            </w:r>
          </w:p>
        </w:tc>
      </w:tr>
      <w:tr w:rsidR="009D6AC0" w:rsidRPr="00FA14DC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</w:pPr>
            <w:r w:rsidRPr="00FA14DC">
              <w:t>– időjárási kockázatkezelési rendszer fejlesztésére kapott támogatás felhasználása:</w:t>
            </w:r>
          </w:p>
        </w:tc>
        <w:tc>
          <w:tcPr>
            <w:tcW w:w="1701" w:type="dxa"/>
            <w:vAlign w:val="bottom"/>
          </w:tcPr>
          <w:p w:rsidR="009D6AC0" w:rsidRPr="00FA14DC" w:rsidRDefault="009D6AC0" w:rsidP="009D6AC0">
            <w:pPr>
              <w:jc w:val="right"/>
            </w:pPr>
            <w:r w:rsidRPr="00FA14DC">
              <w:t>36,7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</w:t>
            </w:r>
            <w:r>
              <w:t xml:space="preserve"> erdészeti tájak szakkönyvre kapott támogatás: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>
              <w:t>9,3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</w:t>
            </w:r>
            <w:r>
              <w:t xml:space="preserve"> kötelező állatkártalanítás befizetési kötelezettség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>
              <w:t>20,7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537A1B" w:rsidRDefault="009D6AC0" w:rsidP="009D6AC0">
            <w:pPr>
              <w:jc w:val="left"/>
            </w:pPr>
            <w:r w:rsidRPr="00537A1B">
              <w:t>–</w:t>
            </w:r>
            <w:r>
              <w:t xml:space="preserve"> ártalmatlanítás:</w:t>
            </w:r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>
              <w:t>1,8 millió Ft</w:t>
            </w:r>
          </w:p>
        </w:tc>
      </w:tr>
      <w:tr w:rsidR="009D6AC0" w:rsidRPr="00FA14DC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</w:pPr>
            <w:r w:rsidRPr="00FA14DC">
              <w:t>– 2016. évi jogosult állatorvosi tevékenység végzésére történő kifizetések szerződés alapján:</w:t>
            </w:r>
          </w:p>
        </w:tc>
        <w:tc>
          <w:tcPr>
            <w:tcW w:w="1701" w:type="dxa"/>
            <w:vAlign w:val="center"/>
          </w:tcPr>
          <w:p w:rsidR="009D6AC0" w:rsidRPr="00FA14DC" w:rsidRDefault="009D6AC0" w:rsidP="009D6AC0">
            <w:pPr>
              <w:jc w:val="right"/>
            </w:pPr>
            <w:r w:rsidRPr="00FA14DC">
              <w:t>2,</w:t>
            </w:r>
            <w:r>
              <w:t>8</w:t>
            </w:r>
            <w:r w:rsidRPr="00FA14DC">
              <w:t xml:space="preserve"> millió Ft</w:t>
            </w:r>
          </w:p>
        </w:tc>
      </w:tr>
      <w:tr w:rsidR="009D6AC0" w:rsidRPr="00FA14DC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  <w:rPr>
                <w:u w:val="single"/>
              </w:rPr>
            </w:pPr>
            <w:r w:rsidRPr="00FA14DC">
              <w:t>– 2016. évi megyei labor-rezsi kiadások megtérítése:</w:t>
            </w:r>
          </w:p>
        </w:tc>
        <w:tc>
          <w:tcPr>
            <w:tcW w:w="1701" w:type="dxa"/>
            <w:vAlign w:val="center"/>
          </w:tcPr>
          <w:p w:rsidR="009D6AC0" w:rsidRPr="00FA14DC" w:rsidRDefault="009D6AC0" w:rsidP="009D6AC0">
            <w:pPr>
              <w:jc w:val="right"/>
              <w:rPr>
                <w:u w:val="single"/>
              </w:rPr>
            </w:pPr>
            <w:r w:rsidRPr="00FA14DC">
              <w:t>2,8 millió Ft</w:t>
            </w:r>
          </w:p>
        </w:tc>
      </w:tr>
      <w:tr w:rsidR="009D6AC0" w:rsidRPr="00FA14DC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</w:pPr>
            <w:r w:rsidRPr="00FA14DC">
              <w:t>– TUHIR és fogási napló bevétel felhasználása:</w:t>
            </w:r>
          </w:p>
        </w:tc>
        <w:tc>
          <w:tcPr>
            <w:tcW w:w="1701" w:type="dxa"/>
            <w:vAlign w:val="center"/>
          </w:tcPr>
          <w:p w:rsidR="009D6AC0" w:rsidRPr="00FA14DC" w:rsidRDefault="009D6AC0" w:rsidP="009D6AC0">
            <w:pPr>
              <w:jc w:val="right"/>
            </w:pPr>
            <w:r w:rsidRPr="00FA14DC">
              <w:t>3,8 millió Ft</w:t>
            </w:r>
          </w:p>
        </w:tc>
      </w:tr>
      <w:tr w:rsidR="009D6AC0" w:rsidRPr="00FA14DC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</w:pPr>
            <w:r w:rsidRPr="00FA14DC">
              <w:t>– lakáskölcsön áthúzódó folyósítás 2016. évi megállapodásra:</w:t>
            </w:r>
          </w:p>
        </w:tc>
        <w:tc>
          <w:tcPr>
            <w:tcW w:w="1701" w:type="dxa"/>
            <w:vAlign w:val="center"/>
          </w:tcPr>
          <w:p w:rsidR="009D6AC0" w:rsidRPr="00FA14DC" w:rsidRDefault="009D6AC0" w:rsidP="009D6AC0">
            <w:pPr>
              <w:jc w:val="right"/>
            </w:pPr>
            <w:r w:rsidRPr="00FA14DC">
              <w:t>10,0 millió Ft</w:t>
            </w:r>
          </w:p>
        </w:tc>
      </w:tr>
      <w:tr w:rsidR="009D6AC0" w:rsidRPr="00FA14DC" w:rsidTr="009D6AC0">
        <w:tc>
          <w:tcPr>
            <w:tcW w:w="7479" w:type="dxa"/>
          </w:tcPr>
          <w:p w:rsidR="009D6AC0" w:rsidRPr="00FA14DC" w:rsidRDefault="009D6AC0" w:rsidP="009D6AC0">
            <w:pPr>
              <w:jc w:val="left"/>
            </w:pPr>
            <w:r w:rsidRPr="00FA14DC">
              <w:t>– állami halőr szolgálat</w:t>
            </w:r>
            <w:r>
              <w:t>:</w:t>
            </w:r>
          </w:p>
        </w:tc>
        <w:tc>
          <w:tcPr>
            <w:tcW w:w="1701" w:type="dxa"/>
            <w:vAlign w:val="bottom"/>
          </w:tcPr>
          <w:p w:rsidR="009D6AC0" w:rsidRPr="00FA14DC" w:rsidRDefault="009D6AC0" w:rsidP="009D6AC0">
            <w:pPr>
              <w:jc w:val="right"/>
            </w:pPr>
            <w:r w:rsidRPr="00FA14DC">
              <w:t>39,2 millió Ft</w:t>
            </w:r>
          </w:p>
        </w:tc>
      </w:tr>
      <w:tr w:rsidR="009D6AC0" w:rsidRPr="002E0D06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 xml:space="preserve">– </w:t>
            </w:r>
            <w:r>
              <w:t>KÖFOP-1.0.0-VEKOP-15-2016-00016 (INTEL):</w:t>
            </w:r>
          </w:p>
        </w:tc>
        <w:tc>
          <w:tcPr>
            <w:tcW w:w="1701" w:type="dxa"/>
            <w:vAlign w:val="bottom"/>
          </w:tcPr>
          <w:p w:rsidR="009D6AC0" w:rsidRPr="002E0D06" w:rsidRDefault="009D6AC0" w:rsidP="009D6AC0">
            <w:pPr>
              <w:jc w:val="right"/>
            </w:pPr>
            <w:r>
              <w:t xml:space="preserve">1.725,3 </w:t>
            </w:r>
            <w:proofErr w:type="spellStart"/>
            <w:r w:rsidRPr="002E0D06">
              <w:t>mó</w:t>
            </w:r>
            <w:proofErr w:type="spellEnd"/>
            <w:r w:rsidRPr="002E0D06">
              <w:t xml:space="preserve"> Ft</w:t>
            </w:r>
          </w:p>
        </w:tc>
      </w:tr>
      <w:tr w:rsidR="009D6AC0" w:rsidRPr="002E0D06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 xml:space="preserve">– </w:t>
            </w:r>
            <w:r>
              <w:t>KÖFOP-1.0.0-VEKOP-15-2016-00023 (VIZEK):</w:t>
            </w:r>
          </w:p>
        </w:tc>
        <w:tc>
          <w:tcPr>
            <w:tcW w:w="1701" w:type="dxa"/>
            <w:vAlign w:val="bottom"/>
          </w:tcPr>
          <w:p w:rsidR="009D6AC0" w:rsidRPr="002E0D06" w:rsidRDefault="009D6AC0" w:rsidP="009D6AC0">
            <w:pPr>
              <w:jc w:val="right"/>
            </w:pPr>
            <w:r>
              <w:t xml:space="preserve">3,3 </w:t>
            </w:r>
            <w:r w:rsidRPr="002E0D06">
              <w:t>m</w:t>
            </w:r>
            <w:r>
              <w:t>illi</w:t>
            </w:r>
            <w:r w:rsidRPr="002E0D06">
              <w:t>ó Ft</w:t>
            </w:r>
          </w:p>
        </w:tc>
      </w:tr>
      <w:tr w:rsidR="009D6AC0" w:rsidRPr="002E0D06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>– pályázati forrás: EAVI 2020</w:t>
            </w:r>
          </w:p>
        </w:tc>
        <w:tc>
          <w:tcPr>
            <w:tcW w:w="1701" w:type="dxa"/>
            <w:vAlign w:val="bottom"/>
          </w:tcPr>
          <w:p w:rsidR="009D6AC0" w:rsidRPr="002E0D06" w:rsidRDefault="009D6AC0" w:rsidP="009D6AC0">
            <w:pPr>
              <w:jc w:val="right"/>
            </w:pPr>
            <w:r>
              <w:t>3</w:t>
            </w:r>
            <w:r w:rsidRPr="002E0D06">
              <w:t>,</w:t>
            </w:r>
            <w:r>
              <w:t>0</w:t>
            </w:r>
            <w:r w:rsidRPr="002E0D06">
              <w:t xml:space="preserve"> millió Ft</w:t>
            </w:r>
          </w:p>
        </w:tc>
      </w:tr>
      <w:tr w:rsidR="009D6AC0" w:rsidRPr="002E0D06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>– pályázati forrás: WASTELIFE</w:t>
            </w:r>
          </w:p>
        </w:tc>
        <w:tc>
          <w:tcPr>
            <w:tcW w:w="1701" w:type="dxa"/>
            <w:vAlign w:val="bottom"/>
          </w:tcPr>
          <w:p w:rsidR="009D6AC0" w:rsidRPr="002E0D06" w:rsidRDefault="009D6AC0" w:rsidP="009D6AC0">
            <w:pPr>
              <w:jc w:val="right"/>
            </w:pPr>
            <w:r>
              <w:t>49</w:t>
            </w:r>
            <w:r w:rsidRPr="002E0D06">
              <w:t>,</w:t>
            </w:r>
            <w:r>
              <w:t>0</w:t>
            </w:r>
            <w:r w:rsidRPr="002E0D06">
              <w:t xml:space="preserve"> millió Ft</w:t>
            </w:r>
          </w:p>
        </w:tc>
      </w:tr>
      <w:tr w:rsidR="009D6AC0" w:rsidRPr="002E0D06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>– pályázati forrás: EU Menü 2015. évi</w:t>
            </w:r>
          </w:p>
        </w:tc>
        <w:tc>
          <w:tcPr>
            <w:tcW w:w="1701" w:type="dxa"/>
            <w:vAlign w:val="bottom"/>
          </w:tcPr>
          <w:p w:rsidR="009D6AC0" w:rsidRPr="002E0D06" w:rsidRDefault="009D6AC0" w:rsidP="009D6AC0">
            <w:pPr>
              <w:jc w:val="right"/>
            </w:pPr>
            <w:r w:rsidRPr="002E0D06">
              <w:t>16,5 millió Ft</w:t>
            </w:r>
          </w:p>
        </w:tc>
      </w:tr>
      <w:tr w:rsidR="009D6AC0" w:rsidRPr="002E0D06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>– pályázati forrás: EU Menü</w:t>
            </w:r>
          </w:p>
        </w:tc>
        <w:tc>
          <w:tcPr>
            <w:tcW w:w="1701" w:type="dxa"/>
            <w:vAlign w:val="bottom"/>
          </w:tcPr>
          <w:p w:rsidR="009D6AC0" w:rsidRPr="002E0D06" w:rsidRDefault="009D6AC0" w:rsidP="009D6AC0">
            <w:pPr>
              <w:jc w:val="right"/>
            </w:pPr>
            <w:r>
              <w:t>8</w:t>
            </w:r>
            <w:r w:rsidRPr="002E0D06">
              <w:t>,</w:t>
            </w:r>
            <w:r>
              <w:t>0</w:t>
            </w:r>
            <w:r w:rsidRPr="002E0D06">
              <w:t xml:space="preserve"> millió Ft</w:t>
            </w:r>
          </w:p>
        </w:tc>
      </w:tr>
      <w:tr w:rsidR="009D6AC0" w:rsidRPr="002E0D06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 xml:space="preserve">– pályázati forrás: </w:t>
            </w:r>
            <w:proofErr w:type="spellStart"/>
            <w:r w:rsidRPr="002E0D06">
              <w:t>Focal</w:t>
            </w:r>
            <w:proofErr w:type="spellEnd"/>
            <w:r w:rsidRPr="002E0D06">
              <w:t xml:space="preserve"> </w:t>
            </w:r>
            <w:proofErr w:type="spellStart"/>
            <w:r w:rsidRPr="002E0D06">
              <w:t>Point</w:t>
            </w:r>
            <w:proofErr w:type="spellEnd"/>
          </w:p>
        </w:tc>
        <w:tc>
          <w:tcPr>
            <w:tcW w:w="1701" w:type="dxa"/>
            <w:vAlign w:val="bottom"/>
          </w:tcPr>
          <w:p w:rsidR="009D6AC0" w:rsidRPr="002E0D06" w:rsidRDefault="009D6AC0" w:rsidP="009D6AC0">
            <w:pPr>
              <w:jc w:val="right"/>
            </w:pPr>
            <w:r w:rsidRPr="002E0D06">
              <w:t>0,1 millió Ft</w:t>
            </w:r>
          </w:p>
        </w:tc>
      </w:tr>
      <w:tr w:rsidR="009D6AC0" w:rsidRPr="00537A1B" w:rsidTr="009D6AC0">
        <w:tc>
          <w:tcPr>
            <w:tcW w:w="7479" w:type="dxa"/>
          </w:tcPr>
          <w:p w:rsidR="009D6AC0" w:rsidRPr="002E0D06" w:rsidRDefault="009D6AC0" w:rsidP="009D6AC0">
            <w:pPr>
              <w:jc w:val="left"/>
            </w:pPr>
            <w:r w:rsidRPr="002E0D06">
              <w:t xml:space="preserve">– pályázati forrás: erdőtűz </w:t>
            </w:r>
            <w:proofErr w:type="spellStart"/>
            <w:r w:rsidRPr="002E0D06">
              <w:t>megelőzés-FIRELIFE</w:t>
            </w:r>
            <w:proofErr w:type="spellEnd"/>
          </w:p>
        </w:tc>
        <w:tc>
          <w:tcPr>
            <w:tcW w:w="1701" w:type="dxa"/>
            <w:vAlign w:val="bottom"/>
          </w:tcPr>
          <w:p w:rsidR="009D6AC0" w:rsidRPr="00537A1B" w:rsidRDefault="009D6AC0" w:rsidP="009D6AC0">
            <w:pPr>
              <w:jc w:val="right"/>
            </w:pPr>
            <w:r w:rsidRPr="002E0D06">
              <w:t>40,6 millió Ft</w:t>
            </w:r>
          </w:p>
        </w:tc>
      </w:tr>
    </w:tbl>
    <w:p w:rsidR="009D6AC0" w:rsidRPr="00537A1B" w:rsidRDefault="009D6AC0" w:rsidP="009D6AC0"/>
    <w:p w:rsidR="009D6AC0" w:rsidRDefault="009D6AC0" w:rsidP="009D6AC0">
      <w:r>
        <w:t>A fent megjelölt tételekből</w:t>
      </w:r>
      <w:r w:rsidRPr="00537A1B">
        <w:t xml:space="preserve"> várhatóan </w:t>
      </w:r>
      <w:r>
        <w:t>987,2 millió Ft teljesül 2017. június 30-ig, további 642,8 millió Ft év végéig, és az INTEL projekt miatt további évekre áthúzódik várhatóan 585,1 millió Ft.</w:t>
      </w:r>
    </w:p>
    <w:p w:rsidR="00112DAC" w:rsidRDefault="00112DAC">
      <w:pPr>
        <w:jc w:val="left"/>
        <w:rPr>
          <w:b/>
          <w:i/>
          <w:sz w:val="28"/>
          <w:szCs w:val="28"/>
        </w:rPr>
      </w:pPr>
    </w:p>
    <w:p w:rsidR="00841257" w:rsidRDefault="00841257">
      <w:pPr>
        <w:jc w:val="lef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AF2E14" w:rsidRPr="00272597" w:rsidRDefault="00BA357D" w:rsidP="00AF2E14">
      <w:pPr>
        <w:rPr>
          <w:b/>
          <w:i/>
          <w:sz w:val="28"/>
          <w:szCs w:val="28"/>
        </w:rPr>
      </w:pPr>
      <w:r w:rsidRPr="00272597">
        <w:rPr>
          <w:b/>
          <w:i/>
          <w:sz w:val="28"/>
          <w:szCs w:val="28"/>
        </w:rPr>
        <w:lastRenderedPageBreak/>
        <w:t>III.</w:t>
      </w:r>
      <w:r w:rsidR="00AF2E14" w:rsidRPr="00272597">
        <w:rPr>
          <w:b/>
          <w:i/>
          <w:sz w:val="28"/>
          <w:szCs w:val="28"/>
        </w:rPr>
        <w:t xml:space="preserve"> Egyéb</w:t>
      </w:r>
      <w:r w:rsidR="00A35A47" w:rsidRPr="00272597">
        <w:rPr>
          <w:b/>
          <w:i/>
          <w:sz w:val="28"/>
          <w:szCs w:val="28"/>
        </w:rPr>
        <w:t xml:space="preserve"> gazdálkodási-vagyongazdálkodási információk</w:t>
      </w:r>
    </w:p>
    <w:p w:rsidR="00AF2E14" w:rsidRPr="00405A2C" w:rsidRDefault="00AF2E14" w:rsidP="00AF2E14"/>
    <w:p w:rsidR="004F65FF" w:rsidRDefault="004F65FF" w:rsidP="00AF2E14">
      <w:pPr>
        <w:rPr>
          <w:b/>
          <w:u w:val="single"/>
        </w:rPr>
      </w:pPr>
      <w:r>
        <w:rPr>
          <w:b/>
          <w:u w:val="single"/>
        </w:rPr>
        <w:t>Belső számviteli szabályozásban végrehajtott évközi változások összefoglaló értékelése</w:t>
      </w:r>
    </w:p>
    <w:p w:rsidR="004F65FF" w:rsidRDefault="004F65FF" w:rsidP="00AF2E14">
      <w:pPr>
        <w:rPr>
          <w:b/>
          <w:u w:val="single"/>
        </w:rPr>
      </w:pPr>
    </w:p>
    <w:p w:rsidR="009126FC" w:rsidRDefault="00D37318" w:rsidP="00D37318">
      <w:r>
        <w:t xml:space="preserve">2016-ban a követelések értékvesztésének meghatározása során a számvitelről szóló 2000. évi C. törvény, az államháztartásról szóló 2011. évi CXCV. törvény, az államháztartás számviteléről szóló 4/2013 (I.11) kormányrendelet figyelembevételével - minden bevétel tekintetében az egyszerűsített (vagy csoportos) számítási módról 2016. negyedik </w:t>
      </w:r>
      <w:proofErr w:type="gramStart"/>
      <w:r>
        <w:t>negyedévtől  az</w:t>
      </w:r>
      <w:proofErr w:type="gramEnd"/>
      <w:r>
        <w:t xml:space="preserve"> egyedi értékelésre tértünk át. </w:t>
      </w:r>
      <w:r w:rsidR="009126FC">
        <w:t>Gyakorlati tapasztalok alapján új Pénzkezelési és Számlázási Szabályzatot adtunk ki.</w:t>
      </w:r>
    </w:p>
    <w:p w:rsidR="00D37318" w:rsidRDefault="00D37318" w:rsidP="00D37318">
      <w:pPr>
        <w:rPr>
          <w:b/>
          <w:u w:val="single"/>
        </w:rPr>
      </w:pPr>
    </w:p>
    <w:p w:rsidR="00AF2E14" w:rsidRPr="00AB61E9" w:rsidRDefault="00AF2E14" w:rsidP="00AF2E14">
      <w:pPr>
        <w:rPr>
          <w:b/>
          <w:u w:val="single"/>
        </w:rPr>
      </w:pPr>
      <w:r>
        <w:rPr>
          <w:b/>
          <w:u w:val="single"/>
        </w:rPr>
        <w:t xml:space="preserve">A </w:t>
      </w:r>
      <w:r w:rsidR="00841257">
        <w:rPr>
          <w:b/>
          <w:u w:val="single"/>
        </w:rPr>
        <w:t>2016</w:t>
      </w:r>
      <w:r w:rsidRPr="00AB61E9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AB61E9">
        <w:rPr>
          <w:b/>
          <w:u w:val="single"/>
        </w:rPr>
        <w:t>évben végrehajtott vagyonhasznosítások (bérbeadás, elidegenítés), a befolyt bevétel és felhasználása</w:t>
      </w:r>
      <w:r w:rsidR="004F65FF">
        <w:rPr>
          <w:b/>
          <w:u w:val="single"/>
        </w:rPr>
        <w:t>;</w:t>
      </w:r>
      <w:r w:rsidR="00BA357D">
        <w:rPr>
          <w:b/>
          <w:u w:val="single"/>
        </w:rPr>
        <w:t xml:space="preserve"> vagyonváltozás</w:t>
      </w:r>
    </w:p>
    <w:p w:rsidR="00AF2E14" w:rsidRPr="00D95F31" w:rsidRDefault="00AF2E14" w:rsidP="00AF2E14"/>
    <w:p w:rsidR="004226A5" w:rsidRDefault="004226A5" w:rsidP="004226A5">
      <w:r>
        <w:t xml:space="preserve">A NÉBIH 2016. december 31-én a 1024 Budapest, Kis Rókus u. 15/B. sz. alatt bérelt ingatlant, továbbá ingyenes használati szerződéssel rendelkezett a 1024 Budapest, Petrezselyem utca 10. sz. </w:t>
      </w:r>
      <w:proofErr w:type="gramStart"/>
      <w:r>
        <w:t>A</w:t>
      </w:r>
      <w:proofErr w:type="gramEnd"/>
      <w:r>
        <w:t xml:space="preserve"> alagsor 1. sz. alatti teljes, </w:t>
      </w:r>
      <w:r>
        <w:rPr>
          <w:color w:val="000000"/>
        </w:rPr>
        <w:t xml:space="preserve">1024 Budapest, Kitaibel Pál u. 1. sz. alatti ingatlan főépületének </w:t>
      </w:r>
      <w:r>
        <w:t>I. emeletén található 31,2 m</w:t>
      </w:r>
      <w:r>
        <w:rPr>
          <w:vertAlign w:val="superscript"/>
        </w:rPr>
        <w:t>2</w:t>
      </w:r>
      <w:r>
        <w:t xml:space="preserve"> területére, valamint a 1182 Budapest, Fogoly utca 13-15. sz. ingatlanra. A NÉBIH szerződés alapján üzemelteti a Földművelésügyi Minisztérium éttermi- és konyhai helyiségeit, továbbá a 8600 Siófok, Vitorlás u. 15. sz. oktatási központ ingatlant. A NÉBIH 2016. év folyamán </w:t>
      </w:r>
      <w:r w:rsidR="00784FD5">
        <w:t xml:space="preserve">14 </w:t>
      </w:r>
      <w:r>
        <w:t xml:space="preserve">db </w:t>
      </w:r>
      <w:r w:rsidR="00784FD5">
        <w:t>ingatlan esetében</w:t>
      </w:r>
      <w:r>
        <w:t xml:space="preserve"> ingyenesen</w:t>
      </w:r>
      <w:r w:rsidR="00784FD5">
        <w:t>, a rezsiköltségek arányos megtérítésével</w:t>
      </w:r>
      <w:r>
        <w:t xml:space="preserve"> használta a megyei kormányhivatalok vagyonkezelésében lévő </w:t>
      </w:r>
      <w:r w:rsidR="00784FD5">
        <w:t xml:space="preserve">laboratóriumi </w:t>
      </w:r>
      <w:r>
        <w:t>ingatlanokat</w:t>
      </w:r>
      <w:r w:rsidR="00784FD5">
        <w:t>; ezen felül év közben átköltöztettük meg a Pest Megyei Kormányhivatal gödöllői ingatlanában működő laboratóriumot saját vagyonkezelésű ingatlanba.</w:t>
      </w:r>
      <w:r>
        <w:t xml:space="preserve"> A NÉBIH 140 db hasznosított ingatlann</w:t>
      </w:r>
      <w:r w:rsidR="00784FD5">
        <w:t>al/ingatlanrésszel rendelkezik.</w:t>
      </w:r>
    </w:p>
    <w:p w:rsidR="00784FD5" w:rsidRDefault="00784FD5" w:rsidP="004226A5"/>
    <w:p w:rsidR="004226A5" w:rsidRDefault="00784FD5" w:rsidP="004226A5">
      <w:r>
        <w:t xml:space="preserve">Tárgyi eszközök bérbeadásából a </w:t>
      </w:r>
      <w:proofErr w:type="spellStart"/>
      <w:r>
        <w:t>NÉBIH-nek</w:t>
      </w:r>
      <w:proofErr w:type="spellEnd"/>
      <w:r>
        <w:t>, 6,5 millió Ft bevétele keletkezett, e</w:t>
      </w:r>
      <w:r w:rsidR="004226A5">
        <w:t xml:space="preserve"> bevételeket a Hivatal működési kiadásainak teljesítésére, pl. az ingatlanokkal</w:t>
      </w:r>
      <w:r>
        <w:t>, egyéb eszközökkel</w:t>
      </w:r>
      <w:r w:rsidR="004226A5">
        <w:t xml:space="preserve"> kapcsolatos karbantartásokra, javításokra használta fel. </w:t>
      </w:r>
    </w:p>
    <w:p w:rsidR="004226A5" w:rsidRDefault="004226A5" w:rsidP="004226A5"/>
    <w:p w:rsidR="004226A5" w:rsidRDefault="004226A5" w:rsidP="004226A5">
      <w:r>
        <w:t>Vagyonmozgással járó térítésmentes átadások:</w:t>
      </w:r>
    </w:p>
    <w:p w:rsidR="004226A5" w:rsidRDefault="004226A5" w:rsidP="004226A5">
      <w:pPr>
        <w:pStyle w:val="Listaszerbekezds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2016. évben sikerült az NFA-val a Kecskemét külterület 03/1, 03/2, 04/10, 04/18 </w:t>
      </w:r>
      <w:proofErr w:type="spellStart"/>
      <w:r>
        <w:rPr>
          <w:sz w:val="24"/>
        </w:rPr>
        <w:t>hrsz-ú</w:t>
      </w:r>
      <w:proofErr w:type="spellEnd"/>
      <w:r>
        <w:rPr>
          <w:sz w:val="24"/>
        </w:rPr>
        <w:t xml:space="preserve">, természetben 6000 Kecskemét-Miklóstelep, Belsőnyír 136. sz. ingatlan birtok átruházási eljárását lezárni, ezért az ingatlan számviteli kivezetése (átadása) is megtörtént.  </w:t>
      </w:r>
    </w:p>
    <w:p w:rsidR="004226A5" w:rsidRDefault="004226A5" w:rsidP="004226A5">
      <w:pPr>
        <w:pStyle w:val="Listaszerbekezds"/>
        <w:ind w:firstLine="0"/>
        <w:rPr>
          <w:sz w:val="24"/>
        </w:rPr>
      </w:pPr>
    </w:p>
    <w:p w:rsidR="004226A5" w:rsidRDefault="004226A5" w:rsidP="004226A5">
      <w:pPr>
        <w:pStyle w:val="Listaszerbekezds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4. sz. f. Debrecen elkerülő a 35. és a 4. sz. f. (projektkód: K004.14) megvalósulása érdekében a Nemzeti Földalapkezelő Szervezettel (NIF Nemzeti Infrastruktúra Fejlesztő Zrt.) aláírásra került a Debrecen külterület 0166/31 és 0166/33 </w:t>
      </w:r>
      <w:proofErr w:type="spellStart"/>
      <w:r>
        <w:rPr>
          <w:sz w:val="24"/>
        </w:rPr>
        <w:t>hrsz-ú</w:t>
      </w:r>
      <w:proofErr w:type="spellEnd"/>
      <w:r>
        <w:rPr>
          <w:sz w:val="24"/>
        </w:rPr>
        <w:t xml:space="preserve"> ingatlanok vagyonkezelői jogának térítésmenetes megszüntetéséről szóló okirat, mindösszesen 4.819.760,</w:t>
      </w:r>
      <w:proofErr w:type="spellStart"/>
      <w:r>
        <w:rPr>
          <w:sz w:val="24"/>
        </w:rPr>
        <w:t>-Ft</w:t>
      </w:r>
      <w:proofErr w:type="spellEnd"/>
      <w:r>
        <w:rPr>
          <w:sz w:val="24"/>
        </w:rPr>
        <w:t xml:space="preserve"> értékben. </w:t>
      </w:r>
    </w:p>
    <w:p w:rsidR="004226A5" w:rsidRDefault="004226A5" w:rsidP="004226A5">
      <w:pPr>
        <w:pStyle w:val="Listaszerbekezds"/>
        <w:ind w:left="284" w:firstLine="0"/>
        <w:rPr>
          <w:sz w:val="24"/>
        </w:rPr>
      </w:pPr>
    </w:p>
    <w:p w:rsidR="004226A5" w:rsidRDefault="004226A5" w:rsidP="004226A5">
      <w:pPr>
        <w:pStyle w:val="Listaszerbekezds"/>
        <w:numPr>
          <w:ilvl w:val="0"/>
          <w:numId w:val="23"/>
        </w:numPr>
        <w:suppressAutoHyphens w:val="0"/>
        <w:spacing w:after="200"/>
        <w:rPr>
          <w:sz w:val="24"/>
        </w:rPr>
      </w:pPr>
      <w:r>
        <w:rPr>
          <w:sz w:val="24"/>
        </w:rPr>
        <w:t xml:space="preserve">A Nemzeti Földalapkezelő Szervezettel korábban aláírt Atkár külterület 0181/2, 0181/4, 0181/5, Gyöngyöshalász 0185/1, 0185/2 </w:t>
      </w:r>
      <w:proofErr w:type="spellStart"/>
      <w:r>
        <w:rPr>
          <w:sz w:val="24"/>
        </w:rPr>
        <w:t>hrsz-ú</w:t>
      </w:r>
      <w:proofErr w:type="spellEnd"/>
      <w:r>
        <w:rPr>
          <w:sz w:val="24"/>
        </w:rPr>
        <w:t xml:space="preserve">, természetben 3213 Atkár, Tabi major 1. sz. ingatlan vagyonkezelői jogának megszüntetéséről szóló okirat alapján az ingatlan számviteli átadását többször sürgettük az NFA-nál, melyre 2016. december 31-el bezárólag sem került sor.  </w:t>
      </w:r>
    </w:p>
    <w:p w:rsidR="004226A5" w:rsidRDefault="004226A5" w:rsidP="004226A5">
      <w:pPr>
        <w:pStyle w:val="Listaszerbekezds"/>
        <w:rPr>
          <w:sz w:val="24"/>
        </w:rPr>
      </w:pPr>
    </w:p>
    <w:p w:rsidR="004226A5" w:rsidRDefault="004226A5" w:rsidP="004226A5">
      <w:pPr>
        <w:pStyle w:val="Listaszerbekezds"/>
        <w:numPr>
          <w:ilvl w:val="0"/>
          <w:numId w:val="23"/>
        </w:numPr>
        <w:suppressAutoHyphens w:val="0"/>
        <w:spacing w:after="200"/>
        <w:rPr>
          <w:sz w:val="24"/>
        </w:rPr>
      </w:pPr>
      <w:r>
        <w:rPr>
          <w:sz w:val="24"/>
        </w:rPr>
        <w:lastRenderedPageBreak/>
        <w:t xml:space="preserve">Kétoldalú (MNV Zrt/NÉBIH) szerződés keretében megszüntetésre került a Miskolc III. kerület belterület 30890/1 </w:t>
      </w:r>
      <w:proofErr w:type="spellStart"/>
      <w:r>
        <w:rPr>
          <w:sz w:val="24"/>
        </w:rPr>
        <w:t>hrsz-ú</w:t>
      </w:r>
      <w:proofErr w:type="spellEnd"/>
      <w:r>
        <w:rPr>
          <w:sz w:val="24"/>
        </w:rPr>
        <w:t xml:space="preserve">, természetben 3535 Miskolc, </w:t>
      </w:r>
      <w:proofErr w:type="gramStart"/>
      <w:r>
        <w:rPr>
          <w:sz w:val="24"/>
        </w:rPr>
        <w:t>Árpád út</w:t>
      </w:r>
      <w:proofErr w:type="gramEnd"/>
      <w:r>
        <w:rPr>
          <w:sz w:val="24"/>
        </w:rPr>
        <w:t xml:space="preserve"> 90. sz. ingatlan vagyonkezelői joga. A birtok átruházás 2017. január 17. napján történt meg, ezért a számviteli értékadatok kivezetésére 2017. évben </w:t>
      </w:r>
      <w:proofErr w:type="gramStart"/>
      <w:r>
        <w:rPr>
          <w:sz w:val="24"/>
        </w:rPr>
        <w:t>fog sor</w:t>
      </w:r>
      <w:proofErr w:type="gramEnd"/>
      <w:r w:rsidR="00784FD5">
        <w:rPr>
          <w:sz w:val="24"/>
        </w:rPr>
        <w:t xml:space="preserve"> </w:t>
      </w:r>
      <w:r>
        <w:rPr>
          <w:sz w:val="24"/>
        </w:rPr>
        <w:t xml:space="preserve">kerülni. </w:t>
      </w:r>
    </w:p>
    <w:p w:rsidR="004226A5" w:rsidRDefault="004226A5" w:rsidP="004226A5">
      <w:pPr>
        <w:pStyle w:val="Listaszerbekezds"/>
        <w:rPr>
          <w:sz w:val="24"/>
        </w:rPr>
      </w:pPr>
    </w:p>
    <w:p w:rsidR="004226A5" w:rsidRDefault="004226A5" w:rsidP="004226A5">
      <w:pPr>
        <w:pStyle w:val="Listaszerbekezds"/>
        <w:ind w:firstLine="0"/>
        <w:rPr>
          <w:sz w:val="24"/>
        </w:rPr>
      </w:pPr>
      <w:r>
        <w:rPr>
          <w:sz w:val="24"/>
        </w:rPr>
        <w:t>Vagyonmozgással járó vagyonkezelői jog átvétel:</w:t>
      </w:r>
    </w:p>
    <w:p w:rsidR="004226A5" w:rsidRDefault="004226A5" w:rsidP="004226A5">
      <w:pPr>
        <w:pStyle w:val="Listaszerbekezds"/>
        <w:numPr>
          <w:ilvl w:val="0"/>
          <w:numId w:val="23"/>
        </w:numPr>
        <w:rPr>
          <w:sz w:val="24"/>
        </w:rPr>
      </w:pPr>
      <w:r>
        <w:rPr>
          <w:sz w:val="24"/>
        </w:rPr>
        <w:t xml:space="preserve">A MNV </w:t>
      </w:r>
      <w:proofErr w:type="spellStart"/>
      <w:r>
        <w:rPr>
          <w:sz w:val="24"/>
        </w:rPr>
        <w:t>Zrt-vel</w:t>
      </w:r>
      <w:proofErr w:type="spellEnd"/>
      <w:r>
        <w:rPr>
          <w:sz w:val="24"/>
        </w:rPr>
        <w:t xml:space="preserve"> a mérleg fordulónapján folyamatban van a </w:t>
      </w:r>
      <w:proofErr w:type="gramStart"/>
      <w:r>
        <w:rPr>
          <w:sz w:val="24"/>
        </w:rPr>
        <w:t>Budapest,</w:t>
      </w:r>
      <w:proofErr w:type="gramEnd"/>
      <w:r>
        <w:rPr>
          <w:sz w:val="24"/>
        </w:rPr>
        <w:t xml:space="preserve"> II. kerület belterület 13251 </w:t>
      </w:r>
      <w:proofErr w:type="spellStart"/>
      <w:r>
        <w:rPr>
          <w:sz w:val="24"/>
        </w:rPr>
        <w:t>hrsz-ú</w:t>
      </w:r>
      <w:proofErr w:type="spellEnd"/>
      <w:r>
        <w:rPr>
          <w:sz w:val="24"/>
        </w:rPr>
        <w:t xml:space="preserve">, természetben 1024 Budapest, Petrezselyem utca 7-9. sz. ingatlan és ingóságok vagyonkezelői jogának átvétele. </w:t>
      </w:r>
    </w:p>
    <w:p w:rsidR="00AF2E14" w:rsidRDefault="00AF2E14" w:rsidP="00AF2E14"/>
    <w:p w:rsidR="00784FD5" w:rsidRDefault="00784FD5" w:rsidP="00DF0650">
      <w:pPr>
        <w:rPr>
          <w:color w:val="000000" w:themeColor="text1"/>
        </w:rPr>
      </w:pPr>
      <w:r>
        <w:rPr>
          <w:color w:val="000000" w:themeColor="text1"/>
        </w:rPr>
        <w:t xml:space="preserve">Tárgyi </w:t>
      </w:r>
      <w:proofErr w:type="gramStart"/>
      <w:r>
        <w:rPr>
          <w:color w:val="000000" w:themeColor="text1"/>
        </w:rPr>
        <w:t>eszköz értékesítésre</w:t>
      </w:r>
      <w:proofErr w:type="gramEnd"/>
      <w:r>
        <w:rPr>
          <w:color w:val="000000" w:themeColor="text1"/>
        </w:rPr>
        <w:t xml:space="preserve"> esetileg került sor.</w:t>
      </w:r>
    </w:p>
    <w:p w:rsidR="00784FD5" w:rsidRDefault="00784FD5" w:rsidP="00DF0650">
      <w:pPr>
        <w:rPr>
          <w:color w:val="000000" w:themeColor="text1"/>
        </w:rPr>
      </w:pPr>
    </w:p>
    <w:p w:rsidR="00DF0650" w:rsidRPr="00DF0650" w:rsidRDefault="00DF0650" w:rsidP="00DF0650">
      <w:pPr>
        <w:rPr>
          <w:color w:val="000000" w:themeColor="text1"/>
        </w:rPr>
      </w:pPr>
      <w:r>
        <w:rPr>
          <w:color w:val="000000" w:themeColor="text1"/>
        </w:rPr>
        <w:t xml:space="preserve">A felügyeleti díjból és a projektekből, pályázatokból biztosított forrásoknak köszönhetően 2015-ben és 2016-ban </w:t>
      </w:r>
      <w:r w:rsidRPr="00B552DE">
        <w:rPr>
          <w:b/>
          <w:color w:val="000000" w:themeColor="text1"/>
        </w:rPr>
        <w:t xml:space="preserve">nem csak az eszközök </w:t>
      </w:r>
      <w:r w:rsidR="00FA1914" w:rsidRPr="00B552DE">
        <w:rPr>
          <w:b/>
          <w:color w:val="000000" w:themeColor="text1"/>
        </w:rPr>
        <w:t xml:space="preserve">éves </w:t>
      </w:r>
      <w:r w:rsidRPr="00B552DE">
        <w:rPr>
          <w:b/>
          <w:color w:val="000000" w:themeColor="text1"/>
        </w:rPr>
        <w:t xml:space="preserve">értékcsökkenésének visszapótlására, hanem az </w:t>
      </w:r>
      <w:r w:rsidR="00FA1914" w:rsidRPr="00B552DE">
        <w:rPr>
          <w:b/>
          <w:color w:val="000000" w:themeColor="text1"/>
        </w:rPr>
        <w:t xml:space="preserve">nemzeti vagyonba tartozó </w:t>
      </w:r>
      <w:r w:rsidRPr="00B552DE">
        <w:rPr>
          <w:b/>
          <w:color w:val="000000" w:themeColor="text1"/>
        </w:rPr>
        <w:t>eszközállomány nettó értékének növelésére, bővülésre</w:t>
      </w:r>
      <w:r>
        <w:rPr>
          <w:color w:val="000000" w:themeColor="text1"/>
        </w:rPr>
        <w:t>, fejlesztésre is lehetőségünk nyílt</w:t>
      </w:r>
      <w:r w:rsidRPr="00DF0650">
        <w:rPr>
          <w:color w:val="000000" w:themeColor="text1"/>
        </w:rPr>
        <w:t xml:space="preserve">. 2015-ben és 2016-ban egyaránt a </w:t>
      </w:r>
      <w:r>
        <w:rPr>
          <w:color w:val="000000" w:themeColor="text1"/>
        </w:rPr>
        <w:t xml:space="preserve">NÉBIH </w:t>
      </w:r>
      <w:r w:rsidRPr="00DF0650">
        <w:rPr>
          <w:color w:val="000000" w:themeColor="text1"/>
        </w:rPr>
        <w:t>mérlegfőösszeg</w:t>
      </w:r>
      <w:r>
        <w:rPr>
          <w:color w:val="000000" w:themeColor="text1"/>
        </w:rPr>
        <w:t>ének</w:t>
      </w:r>
      <w:r w:rsidRPr="00DF0650">
        <w:rPr>
          <w:color w:val="000000" w:themeColor="text1"/>
        </w:rPr>
        <w:t xml:space="preserve"> 57 %-át a nemzeti vagyonba tarto</w:t>
      </w:r>
      <w:r>
        <w:rPr>
          <w:color w:val="000000" w:themeColor="text1"/>
        </w:rPr>
        <w:t>zó befektetett eszközök képezik, több mint 10 Mrd Ft értékben</w:t>
      </w:r>
      <w:r w:rsidR="007524C9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</w:p>
    <w:p w:rsidR="00DF0650" w:rsidRDefault="00DF0650" w:rsidP="00AF2E14"/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417"/>
        <w:gridCol w:w="1418"/>
        <w:gridCol w:w="1417"/>
        <w:gridCol w:w="1337"/>
        <w:gridCol w:w="1320"/>
        <w:gridCol w:w="1134"/>
      </w:tblGrid>
      <w:tr w:rsidR="00F64D2A" w:rsidRPr="00F64D2A" w:rsidTr="002A231D">
        <w:trPr>
          <w:trHeight w:val="31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2A" w:rsidRPr="00F64D2A" w:rsidRDefault="00F64D2A" w:rsidP="00F64D2A">
            <w:pPr>
              <w:jc w:val="center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Év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2A231D" w:rsidP="002A23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Nemzeti vagyonba tartozó befektetett eszközök é</w:t>
            </w:r>
            <w:r w:rsidR="00F64D2A" w:rsidRPr="00F64D2A">
              <w:rPr>
                <w:b/>
                <w:bCs/>
                <w:color w:val="000000"/>
              </w:rPr>
              <w:t>rték</w:t>
            </w:r>
            <w:r>
              <w:rPr>
                <w:b/>
                <w:bCs/>
                <w:color w:val="000000"/>
              </w:rPr>
              <w:t>e</w:t>
            </w:r>
            <w:r w:rsidR="00F64D2A" w:rsidRPr="00F64D2A">
              <w:rPr>
                <w:b/>
                <w:bCs/>
                <w:color w:val="000000"/>
              </w:rPr>
              <w:t xml:space="preserve"> ezer Ft-ban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D2A" w:rsidRPr="00F64D2A" w:rsidRDefault="00F64D2A" w:rsidP="002A231D">
            <w:pPr>
              <w:jc w:val="center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Változás az előző évhez képest</w:t>
            </w:r>
          </w:p>
        </w:tc>
      </w:tr>
      <w:tr w:rsidR="00F64D2A" w:rsidRPr="00F64D2A" w:rsidTr="00F64D2A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F64D2A" w:rsidRPr="00F64D2A" w:rsidRDefault="00F64D2A" w:rsidP="00F64D2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center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bruttó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F64D2A">
              <w:rPr>
                <w:b/>
                <w:bCs/>
                <w:color w:val="000000"/>
              </w:rPr>
              <w:t>é</w:t>
            </w:r>
            <w:r w:rsidR="00DF0650">
              <w:rPr>
                <w:b/>
                <w:bCs/>
                <w:color w:val="000000"/>
              </w:rPr>
              <w:t>rték</w:t>
            </w:r>
            <w:r w:rsidRPr="00F64D2A">
              <w:rPr>
                <w:b/>
                <w:bCs/>
                <w:color w:val="000000"/>
              </w:rPr>
              <w:t>cs</w:t>
            </w:r>
            <w:r w:rsidR="00DF0650">
              <w:rPr>
                <w:b/>
                <w:bCs/>
                <w:color w:val="000000"/>
              </w:rPr>
              <w:t>ökk</w:t>
            </w:r>
            <w:proofErr w:type="spellEnd"/>
            <w:r w:rsidR="00DF0650">
              <w:rPr>
                <w:b/>
                <w:bCs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center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nettó</w:t>
            </w:r>
          </w:p>
        </w:tc>
        <w:tc>
          <w:tcPr>
            <w:tcW w:w="1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center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bruttó</w:t>
            </w:r>
          </w:p>
        </w:tc>
        <w:tc>
          <w:tcPr>
            <w:tcW w:w="121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DF0650" w:rsidP="00F64D2A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F64D2A">
              <w:rPr>
                <w:b/>
                <w:bCs/>
                <w:color w:val="000000"/>
              </w:rPr>
              <w:t>é</w:t>
            </w:r>
            <w:r>
              <w:rPr>
                <w:b/>
                <w:bCs/>
                <w:color w:val="000000"/>
              </w:rPr>
              <w:t>rték</w:t>
            </w:r>
            <w:r w:rsidRPr="00F64D2A">
              <w:rPr>
                <w:b/>
                <w:bCs/>
                <w:color w:val="000000"/>
              </w:rPr>
              <w:t>cs</w:t>
            </w:r>
            <w:r>
              <w:rPr>
                <w:b/>
                <w:bCs/>
                <w:color w:val="000000"/>
              </w:rPr>
              <w:t>ökk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center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nettó</w:t>
            </w:r>
          </w:p>
        </w:tc>
      </w:tr>
      <w:tr w:rsidR="00F64D2A" w:rsidRPr="00F64D2A" w:rsidTr="00F64D2A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 xml:space="preserve">2014 </w:t>
            </w:r>
            <w:r w:rsidR="007524C9">
              <w:rPr>
                <w:rStyle w:val="Lbjegyzet-hivatkozs"/>
                <w:b/>
                <w:bCs/>
                <w:color w:val="000000"/>
              </w:rPr>
              <w:footnoteReference w:id="1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28 786 926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19 100 328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9 686 598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4D2A" w:rsidRPr="00F64D2A" w:rsidRDefault="00F64D2A" w:rsidP="00F64D2A">
            <w:pPr>
              <w:jc w:val="left"/>
              <w:rPr>
                <w:color w:val="000000"/>
              </w:rPr>
            </w:pPr>
            <w:r w:rsidRPr="00F64D2A">
              <w:rPr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4D2A" w:rsidRPr="00F64D2A" w:rsidRDefault="00F64D2A" w:rsidP="00F64D2A">
            <w:pPr>
              <w:jc w:val="left"/>
              <w:rPr>
                <w:color w:val="000000"/>
              </w:rPr>
            </w:pPr>
            <w:r w:rsidRPr="00F64D2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4D2A" w:rsidRPr="00F64D2A" w:rsidRDefault="00F64D2A" w:rsidP="00F64D2A">
            <w:pPr>
              <w:jc w:val="left"/>
              <w:rPr>
                <w:color w:val="000000"/>
              </w:rPr>
            </w:pPr>
            <w:r w:rsidRPr="00F64D2A">
              <w:rPr>
                <w:color w:val="000000"/>
              </w:rPr>
              <w:t> </w:t>
            </w:r>
          </w:p>
        </w:tc>
      </w:tr>
      <w:tr w:rsidR="00F64D2A" w:rsidRPr="00F64D2A" w:rsidTr="00F64D2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30 498 345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20 296 838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10 201 507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105,90%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106,30%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105,30%</w:t>
            </w:r>
          </w:p>
        </w:tc>
      </w:tr>
      <w:tr w:rsidR="00F64D2A" w:rsidRPr="00F64D2A" w:rsidTr="00F64D2A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b/>
                <w:bCs/>
                <w:color w:val="000000"/>
              </w:rPr>
            </w:pPr>
            <w:r w:rsidRPr="00F64D2A">
              <w:rPr>
                <w:b/>
                <w:bCs/>
                <w:color w:val="000000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31 801 188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21 227 805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10 573 383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104,30%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104,60%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D2A" w:rsidRPr="00F64D2A" w:rsidRDefault="00F64D2A" w:rsidP="00F64D2A">
            <w:pPr>
              <w:jc w:val="right"/>
              <w:rPr>
                <w:color w:val="000000"/>
              </w:rPr>
            </w:pPr>
            <w:r w:rsidRPr="00F64D2A">
              <w:rPr>
                <w:color w:val="000000"/>
              </w:rPr>
              <w:t>103,60%</w:t>
            </w:r>
          </w:p>
        </w:tc>
      </w:tr>
    </w:tbl>
    <w:p w:rsidR="00F64D2A" w:rsidRPr="00F64D2A" w:rsidRDefault="00F64D2A" w:rsidP="00AF2E14"/>
    <w:p w:rsidR="00FA1914" w:rsidRDefault="00FA1914" w:rsidP="002E616E">
      <w:pPr>
        <w:rPr>
          <w:b/>
          <w:u w:val="single"/>
        </w:rPr>
      </w:pPr>
    </w:p>
    <w:p w:rsidR="002E616E" w:rsidRDefault="002E616E" w:rsidP="002E616E">
      <w:pPr>
        <w:rPr>
          <w:b/>
          <w:u w:val="single"/>
        </w:rPr>
      </w:pPr>
      <w:r w:rsidRPr="00F47436">
        <w:rPr>
          <w:b/>
          <w:u w:val="single"/>
        </w:rPr>
        <w:t>Az intézmény vagyonkezelői felügyelete alá tartozó gazdasági társaság – ÉLBC Kft.</w:t>
      </w:r>
      <w:r>
        <w:rPr>
          <w:b/>
          <w:u w:val="single"/>
        </w:rPr>
        <w:t xml:space="preserve"> </w:t>
      </w:r>
    </w:p>
    <w:p w:rsidR="002E616E" w:rsidRDefault="002E616E" w:rsidP="002E616E">
      <w:pPr>
        <w:rPr>
          <w:b/>
          <w:u w:val="single"/>
        </w:rPr>
      </w:pPr>
    </w:p>
    <w:p w:rsidR="002E616E" w:rsidRPr="00F47436" w:rsidRDefault="002E616E" w:rsidP="002E616E">
      <w:r w:rsidRPr="00F47436">
        <w:t>Az Éltv. 38/D. § alapján Élelmiszerlánc-biztonsági Centrum Nonprofit Korlátolt Felelősségű Társaság (ÉLBC Kft.) az élelmiszerlánc-felügyeleti feladatok ellátásának támogatása érdekében az élelmiszerlánc-felügyeleti szerv által alapított, az állam 100%-os tulajdonában álló társaság, amelynek üzletrésze forgalomképtelen. Az É</w:t>
      </w:r>
      <w:r>
        <w:t>L</w:t>
      </w:r>
      <w:r w:rsidRPr="00F47436">
        <w:t xml:space="preserve">BC nemzetgazdasági szempontból kiemelt jelentőségű nemzeti vagyonnak minősül. </w:t>
      </w:r>
    </w:p>
    <w:p w:rsidR="002E616E" w:rsidRDefault="002E616E" w:rsidP="002E616E">
      <w:pPr>
        <w:pStyle w:val="Cmsor2"/>
        <w:rPr>
          <w:b w:val="0"/>
          <w:u w:val="none"/>
        </w:rPr>
      </w:pPr>
      <w:r>
        <w:rPr>
          <w:b w:val="0"/>
          <w:u w:val="none"/>
        </w:rPr>
        <w:t xml:space="preserve">Az </w:t>
      </w:r>
      <w:proofErr w:type="spellStart"/>
      <w:r>
        <w:rPr>
          <w:b w:val="0"/>
          <w:u w:val="none"/>
        </w:rPr>
        <w:t>ÉLBC-t</w:t>
      </w:r>
      <w:proofErr w:type="spellEnd"/>
      <w:r>
        <w:rPr>
          <w:b w:val="0"/>
          <w:u w:val="none"/>
        </w:rPr>
        <w:t xml:space="preserve"> a NÉBIH 2014. január 10-én alapította meg 50.000 </w:t>
      </w:r>
      <w:r w:rsidR="00364D2A">
        <w:rPr>
          <w:b w:val="0"/>
          <w:u w:val="none"/>
        </w:rPr>
        <w:t>ezer Ft</w:t>
      </w:r>
      <w:r>
        <w:rPr>
          <w:b w:val="0"/>
          <w:u w:val="none"/>
        </w:rPr>
        <w:t xml:space="preserve"> jegyzett tőkével. A tulajdonosi jogokat a Magyar Állam nevében a NÉBIH gyakorolja. A 201</w:t>
      </w:r>
      <w:r w:rsidR="002944AD">
        <w:rPr>
          <w:b w:val="0"/>
          <w:u w:val="none"/>
        </w:rPr>
        <w:t>6</w:t>
      </w:r>
      <w:r>
        <w:rPr>
          <w:b w:val="0"/>
          <w:u w:val="none"/>
        </w:rPr>
        <w:t>. gazdálkodási év vonatkozásában a társaság felügyelő bizottsága több</w:t>
      </w:r>
      <w:r w:rsidR="002944AD">
        <w:rPr>
          <w:b w:val="0"/>
          <w:u w:val="none"/>
        </w:rPr>
        <w:t xml:space="preserve"> ülést tartott, </w:t>
      </w:r>
      <w:r>
        <w:rPr>
          <w:b w:val="0"/>
          <w:u w:val="none"/>
        </w:rPr>
        <w:t xml:space="preserve">ahol a szakmai feladatellátást és a gazdálkodási-pénzügyi adatokat áttekintette. </w:t>
      </w:r>
    </w:p>
    <w:p w:rsidR="002E616E" w:rsidRDefault="002E616E" w:rsidP="002E616E"/>
    <w:p w:rsidR="002E616E" w:rsidRDefault="002E616E" w:rsidP="002E616E">
      <w:r>
        <w:t xml:space="preserve">A NÉBIH az ÉLBC </w:t>
      </w:r>
      <w:proofErr w:type="spellStart"/>
      <w:r>
        <w:t>Kft.-vel</w:t>
      </w:r>
      <w:proofErr w:type="spellEnd"/>
      <w:r>
        <w:t xml:space="preserve"> </w:t>
      </w:r>
      <w:r w:rsidRPr="00BA357D">
        <w:t>az élelmiszerlánc-felügyeleti feladatokkal kapcsolatos közreműködés érdekében megállapodást köthet, amelyben rendelkezik egyúttal a pénzügyi fedezet biztosításáról, a szakmai teljesítés és az elszámolás rendjéről, illetve a feladatellátáshoz eszközöket biztosíthat.</w:t>
      </w:r>
      <w:r>
        <w:t xml:space="preserve"> Az együttműködési megállapodások alapján 201</w:t>
      </w:r>
      <w:r w:rsidR="00E94FC7">
        <w:t>6</w:t>
      </w:r>
      <w:r>
        <w:t xml:space="preserve">-ben </w:t>
      </w:r>
      <w:r w:rsidR="00F228DF">
        <w:t>1.398.</w:t>
      </w:r>
      <w:r w:rsidR="00F228DF" w:rsidRPr="00F228DF">
        <w:t xml:space="preserve">197 </w:t>
      </w:r>
      <w:r w:rsidR="00364D2A">
        <w:t>ezer Ft</w:t>
      </w:r>
      <w:r w:rsidR="00E94FC7">
        <w:t xml:space="preserve"> pénzeszköz került átadásra</w:t>
      </w:r>
      <w:r w:rsidR="00F228DF">
        <w:t xml:space="preserve">, valamint 2015-ről áthúzódó </w:t>
      </w:r>
      <w:r w:rsidR="00F228DF">
        <w:lastRenderedPageBreak/>
        <w:t xml:space="preserve">finanszírozásként 14.647 ezer Ft. </w:t>
      </w:r>
      <w:r>
        <w:t xml:space="preserve"> A 201</w:t>
      </w:r>
      <w:r w:rsidR="00E94FC7">
        <w:t>6</w:t>
      </w:r>
      <w:r>
        <w:t xml:space="preserve">. évi elszámolás jóváhagyása a szöveges beszámoló készítésének időpontjában még folyamatban van. A Kft. létszáma </w:t>
      </w:r>
      <w:proofErr w:type="gramStart"/>
      <w:r>
        <w:t>201</w:t>
      </w:r>
      <w:r w:rsidR="00E94FC7">
        <w:t>6</w:t>
      </w:r>
      <w:r>
        <w:t>. januárjától</w:t>
      </w:r>
      <w:proofErr w:type="gramEnd"/>
      <w:r>
        <w:t xml:space="preserve"> </w:t>
      </w:r>
      <w:r w:rsidR="00E94FC7">
        <w:t>2</w:t>
      </w:r>
      <w:r w:rsidR="00ED0F35">
        <w:t>60</w:t>
      </w:r>
      <w:r>
        <w:t xml:space="preserve"> főről 201</w:t>
      </w:r>
      <w:r w:rsidR="00E94FC7">
        <w:t>6</w:t>
      </w:r>
      <w:r>
        <w:t xml:space="preserve">. decemberére </w:t>
      </w:r>
      <w:r w:rsidR="00E94FC7">
        <w:t>288</w:t>
      </w:r>
      <w:r>
        <w:t xml:space="preserve"> főre emelkedett.</w:t>
      </w:r>
    </w:p>
    <w:p w:rsidR="002E616E" w:rsidRDefault="002E616E" w:rsidP="002E616E">
      <w:r w:rsidRPr="00BA357D">
        <w:t xml:space="preserve"> </w:t>
      </w:r>
    </w:p>
    <w:p w:rsidR="002E616E" w:rsidRDefault="002E616E" w:rsidP="002E616E">
      <w:r>
        <w:t>Az ÉLBC közreműködésével ellátott jelentősebb feladatok a 201</w:t>
      </w:r>
      <w:r w:rsidR="00E94FC7">
        <w:t>6</w:t>
      </w:r>
      <w:r>
        <w:t xml:space="preserve"> során:</w:t>
      </w:r>
    </w:p>
    <w:p w:rsidR="002E616E" w:rsidRDefault="002E616E" w:rsidP="002E616E"/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Vendéglátó létesítmények élelmiszer-biztonsági és minőségi vizsgálata, a vendéglátás minősítő rendszerének kidolgozása</w:t>
      </w:r>
      <w:r>
        <w:rPr>
          <w:sz w:val="24"/>
        </w:rPr>
        <w:t>,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Élelmiszerlánc-felügyeleti feladatok ellátásának támogatása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IT rendszerek hardver üzemeltetése, FELIR üzemeltetésének és karbantartásának alkalmazástámogatása, valamint projektmenedzsment feladatok közös ellátása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Központi monitoring mintavételi rendszer kidolgozása és működtetése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Fajtakísérleti állomások működtetési, üzemeltetési feladatainak ellátása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NÉBIH mintaszállítási feladatainak logisztikai tervezése, koordinálása és bonyolítása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Védjegyhasználat ellenőrzési és auditálási feladatainak ellátása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Laboratóriumi mintaelemzési és egyéb kémiai vizsgálatok, valamint takarítási tevékenység közös ellátása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A kockázat alapú tervezési és elemzési, valamint projektmenedzsment tevékenységek közös ellátása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 xml:space="preserve">NÉBIH stratégiai tervező-elemző tevékenységeinek közös ellátása 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ENAR és OLIR szakrendszerekkel kapcsolatos adminisztrációs és üzemeltetési feladatok közös ellátása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 xml:space="preserve">NÉBIH budapesti telephelyei ingatlanüzemeltetési feladatainak közös ellátása 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r w:rsidRPr="00F228DF">
        <w:rPr>
          <w:sz w:val="24"/>
        </w:rPr>
        <w:t>Pénzügyi adminisztratív feladatok együttes ellátása</w:t>
      </w:r>
    </w:p>
    <w:p w:rsidR="00F228DF" w:rsidRPr="00F228DF" w:rsidRDefault="00F228DF" w:rsidP="00F228DF">
      <w:pPr>
        <w:pStyle w:val="Listaszerbekezds"/>
        <w:numPr>
          <w:ilvl w:val="0"/>
          <w:numId w:val="23"/>
        </w:numPr>
        <w:rPr>
          <w:sz w:val="24"/>
        </w:rPr>
      </w:pPr>
      <w:proofErr w:type="spellStart"/>
      <w:r w:rsidRPr="00F228DF">
        <w:rPr>
          <w:sz w:val="24"/>
        </w:rPr>
        <w:t>Növényvédőszer</w:t>
      </w:r>
      <w:proofErr w:type="spellEnd"/>
      <w:r w:rsidRPr="00F228DF">
        <w:rPr>
          <w:sz w:val="24"/>
        </w:rPr>
        <w:t xml:space="preserve"> és hatóanyag értékelési valamint növény-egészségügyi és adminisztrációs feladatok közös ellátása</w:t>
      </w:r>
      <w:r>
        <w:rPr>
          <w:sz w:val="24"/>
        </w:rPr>
        <w:t>.</w:t>
      </w:r>
    </w:p>
    <w:p w:rsidR="00F228DF" w:rsidRDefault="00F228DF" w:rsidP="00F228DF"/>
    <w:p w:rsidR="002E616E" w:rsidRPr="00604B84" w:rsidRDefault="002E616E" w:rsidP="002E616E">
      <w:r>
        <w:t xml:space="preserve">Az ÉLBC </w:t>
      </w:r>
      <w:r w:rsidR="00F228DF">
        <w:t xml:space="preserve">Kft. </w:t>
      </w:r>
      <w:r>
        <w:t>201</w:t>
      </w:r>
      <w:r w:rsidR="00E94FC7">
        <w:t>5</w:t>
      </w:r>
      <w:r>
        <w:t>. évi mérleg szerinti eredménye</w:t>
      </w:r>
      <w:r w:rsidR="009C06F0">
        <w:t xml:space="preserve"> 1.</w:t>
      </w:r>
      <w:r w:rsidR="009C06F0" w:rsidRPr="009C06F0">
        <w:t>777</w:t>
      </w:r>
      <w:r w:rsidR="009C06F0" w:rsidRPr="009C06F0">
        <w:tab/>
      </w:r>
      <w:r w:rsidR="009C06F0">
        <w:t>ezer Ft, azaz minimális nyereséget mutat a szolgáltatási tevékenységből. Az eredmény a Kft. működése érdekében kerül felhasználásra.</w:t>
      </w:r>
      <w:r>
        <w:t xml:space="preserve"> </w:t>
      </w:r>
    </w:p>
    <w:p w:rsidR="00A90629" w:rsidRDefault="00A90629">
      <w:pPr>
        <w:jc w:val="left"/>
        <w:rPr>
          <w:b/>
          <w:u w:val="single"/>
        </w:rPr>
      </w:pPr>
    </w:p>
    <w:p w:rsidR="002E616E" w:rsidRPr="002E616E" w:rsidRDefault="00922646" w:rsidP="00AF2E14">
      <w:pPr>
        <w:rPr>
          <w:b/>
          <w:u w:val="single"/>
        </w:rPr>
      </w:pPr>
      <w:r>
        <w:rPr>
          <w:b/>
          <w:u w:val="single"/>
        </w:rPr>
        <w:t xml:space="preserve">A </w:t>
      </w:r>
      <w:r w:rsidR="002E616E">
        <w:rPr>
          <w:b/>
          <w:u w:val="single"/>
        </w:rPr>
        <w:t xml:space="preserve">munkáltatói </w:t>
      </w:r>
      <w:r>
        <w:rPr>
          <w:b/>
          <w:u w:val="single"/>
        </w:rPr>
        <w:t>lakás</w:t>
      </w:r>
      <w:r w:rsidR="002E616E">
        <w:rPr>
          <w:b/>
          <w:u w:val="single"/>
        </w:rPr>
        <w:t>támogatására fordított kiadások alakulása, a kölcsönben részesítettek száma</w:t>
      </w:r>
    </w:p>
    <w:p w:rsidR="00922646" w:rsidRDefault="00A90629" w:rsidP="00A90629">
      <w:pPr>
        <w:pStyle w:val="Cmsor2"/>
        <w:rPr>
          <w:b w:val="0"/>
          <w:u w:val="none"/>
        </w:rPr>
      </w:pPr>
      <w:r>
        <w:rPr>
          <w:b w:val="0"/>
          <w:u w:val="none"/>
        </w:rPr>
        <w:t>A munkáltatói lakáskölcsön szabályait a NÉBIH Közszolgálati Szabályzata tartalmazza, fontos eleme a dolgozói elkötelezettség növelésének. Odaítélése során pénzügyi, jogi és szociális szempontokat egyaránt mérlegelünk.</w:t>
      </w:r>
      <w:r w:rsidR="00922646">
        <w:rPr>
          <w:b w:val="0"/>
          <w:u w:val="none"/>
        </w:rPr>
        <w:t xml:space="preserve"> 2016-ban az első félév során a szigorú likvid gazdálkodás miatt csak új lakás építésére vagy vásárlásra biztosítottunk kölcsönlehetőséget, második félévben a Hivatal ismét megnyitotta a lakásfelújítás és a pénzintéze</w:t>
      </w:r>
      <w:r w:rsidR="00B552DE">
        <w:rPr>
          <w:b w:val="0"/>
          <w:u w:val="none"/>
        </w:rPr>
        <w:t>ti hitel kiváltás jogcímeket is. E</w:t>
      </w:r>
      <w:r w:rsidR="00922646">
        <w:rPr>
          <w:b w:val="0"/>
          <w:u w:val="none"/>
        </w:rPr>
        <w:t xml:space="preserve">nnek ellenére a lakásalap számla működtetése a befolyó törlesztéseken felül nem igényelte más forrás bevonását.   </w:t>
      </w:r>
    </w:p>
    <w:p w:rsidR="00A90629" w:rsidRDefault="00A90629" w:rsidP="00A90629">
      <w:pPr>
        <w:pStyle w:val="Cmsor2"/>
        <w:rPr>
          <w:b w:val="0"/>
          <w:u w:val="none"/>
        </w:rPr>
      </w:pPr>
      <w:r>
        <w:rPr>
          <w:b w:val="0"/>
          <w:u w:val="none"/>
        </w:rPr>
        <w:t xml:space="preserve"> </w:t>
      </w:r>
      <w:r w:rsidRPr="00635663">
        <w:rPr>
          <w:b w:val="0"/>
          <w:u w:val="none"/>
        </w:rPr>
        <w:t>A 201</w:t>
      </w:r>
      <w:r w:rsidR="00922646">
        <w:rPr>
          <w:b w:val="0"/>
          <w:u w:val="none"/>
        </w:rPr>
        <w:t>6</w:t>
      </w:r>
      <w:r w:rsidRPr="00635663">
        <w:rPr>
          <w:b w:val="0"/>
          <w:u w:val="none"/>
        </w:rPr>
        <w:t xml:space="preserve">. költségvetési évben </w:t>
      </w:r>
      <w:r w:rsidR="00A079E8">
        <w:rPr>
          <w:b w:val="0"/>
          <w:u w:val="none"/>
        </w:rPr>
        <w:t>1</w:t>
      </w:r>
      <w:r w:rsidR="00922646">
        <w:rPr>
          <w:b w:val="0"/>
          <w:u w:val="none"/>
        </w:rPr>
        <w:t>8</w:t>
      </w:r>
      <w:r w:rsidRPr="00635663">
        <w:rPr>
          <w:b w:val="0"/>
          <w:u w:val="none"/>
        </w:rPr>
        <w:t xml:space="preserve"> fő részére</w:t>
      </w:r>
      <w:r w:rsidR="00922646">
        <w:rPr>
          <w:b w:val="0"/>
          <w:u w:val="none"/>
        </w:rPr>
        <w:t xml:space="preserve"> 77.4</w:t>
      </w:r>
      <w:r w:rsidR="00A079E8">
        <w:rPr>
          <w:b w:val="0"/>
          <w:u w:val="none"/>
        </w:rPr>
        <w:t>00</w:t>
      </w:r>
      <w:r w:rsidR="00922646">
        <w:rPr>
          <w:b w:val="0"/>
          <w:u w:val="none"/>
        </w:rPr>
        <w:t xml:space="preserve"> </w:t>
      </w:r>
      <w:r w:rsidR="00A079E8">
        <w:rPr>
          <w:b w:val="0"/>
          <w:u w:val="none"/>
        </w:rPr>
        <w:t xml:space="preserve">ezer </w:t>
      </w:r>
      <w:r w:rsidRPr="00635663">
        <w:rPr>
          <w:b w:val="0"/>
          <w:u w:val="none"/>
        </w:rPr>
        <w:t>Ft</w:t>
      </w:r>
      <w:r w:rsidR="00A079E8">
        <w:rPr>
          <w:b w:val="0"/>
          <w:u w:val="none"/>
        </w:rPr>
        <w:t xml:space="preserve"> visszatérítendő, kamatmentes</w:t>
      </w:r>
      <w:r w:rsidRPr="00635663">
        <w:rPr>
          <w:b w:val="0"/>
          <w:u w:val="none"/>
        </w:rPr>
        <w:t xml:space="preserve"> támogat</w:t>
      </w:r>
      <w:r w:rsidR="00A079E8">
        <w:rPr>
          <w:b w:val="0"/>
          <w:u w:val="none"/>
        </w:rPr>
        <w:t>ás folyósítása történt.</w:t>
      </w:r>
      <w:r w:rsidRPr="00635663">
        <w:rPr>
          <w:b w:val="0"/>
          <w:u w:val="none"/>
        </w:rPr>
        <w:t xml:space="preserve"> A</w:t>
      </w:r>
      <w:r w:rsidR="00A079E8">
        <w:rPr>
          <w:b w:val="0"/>
          <w:u w:val="none"/>
        </w:rPr>
        <w:t xml:space="preserve"> befolyt</w:t>
      </w:r>
      <w:r w:rsidRPr="00635663">
        <w:rPr>
          <w:b w:val="0"/>
          <w:u w:val="none"/>
        </w:rPr>
        <w:t xml:space="preserve"> törlesztések és kamatok összege </w:t>
      </w:r>
      <w:r w:rsidR="00922646">
        <w:rPr>
          <w:b w:val="0"/>
          <w:u w:val="none"/>
        </w:rPr>
        <w:t>90.425</w:t>
      </w:r>
      <w:r w:rsidR="00A079E8">
        <w:rPr>
          <w:b w:val="0"/>
          <w:u w:val="none"/>
        </w:rPr>
        <w:t xml:space="preserve"> </w:t>
      </w:r>
      <w:r w:rsidRPr="00635663">
        <w:rPr>
          <w:b w:val="0"/>
          <w:u w:val="none"/>
        </w:rPr>
        <w:t>e</w:t>
      </w:r>
      <w:r w:rsidR="00A079E8">
        <w:rPr>
          <w:b w:val="0"/>
          <w:u w:val="none"/>
        </w:rPr>
        <w:t xml:space="preserve">zer </w:t>
      </w:r>
      <w:r w:rsidRPr="00635663">
        <w:rPr>
          <w:b w:val="0"/>
          <w:u w:val="none"/>
        </w:rPr>
        <w:t xml:space="preserve">Ft. </w:t>
      </w:r>
      <w:r w:rsidR="00922646">
        <w:rPr>
          <w:b w:val="0"/>
          <w:u w:val="none"/>
        </w:rPr>
        <w:t>A kölcsönökkel kapcsolatos adminisztrációs teendőket nehezíti, hogy a</w:t>
      </w:r>
      <w:r w:rsidR="002261A1">
        <w:rPr>
          <w:b w:val="0"/>
          <w:u w:val="none"/>
        </w:rPr>
        <w:t xml:space="preserve"> közigazgatási szervezeti változások miatt a kölcsöntörlesztők jelentős része már nem a NÉBIH dolgozója</w:t>
      </w:r>
      <w:r w:rsidR="00B552DE">
        <w:rPr>
          <w:b w:val="0"/>
          <w:u w:val="none"/>
        </w:rPr>
        <w:t>. J</w:t>
      </w:r>
      <w:r w:rsidR="00870AAE">
        <w:rPr>
          <w:b w:val="0"/>
          <w:u w:val="none"/>
        </w:rPr>
        <w:t xml:space="preserve">elenleg </w:t>
      </w:r>
      <w:r w:rsidR="00B552DE">
        <w:rPr>
          <w:b w:val="0"/>
          <w:u w:val="none"/>
        </w:rPr>
        <w:t xml:space="preserve">a </w:t>
      </w:r>
      <w:r w:rsidR="00870AAE">
        <w:rPr>
          <w:b w:val="0"/>
          <w:u w:val="none"/>
        </w:rPr>
        <w:t>kezelt kölcsönök száma 416 db.</w:t>
      </w:r>
      <w:r w:rsidR="003832F0">
        <w:rPr>
          <w:b w:val="0"/>
          <w:u w:val="none"/>
        </w:rPr>
        <w:t xml:space="preserve"> A számszaki adatokat a </w:t>
      </w:r>
      <w:r w:rsidR="003832F0" w:rsidRPr="003832F0">
        <w:rPr>
          <w:b w:val="0"/>
          <w:i/>
          <w:u w:val="none"/>
        </w:rPr>
        <w:t>B</w:t>
      </w:r>
      <w:r w:rsidR="003832F0">
        <w:rPr>
          <w:b w:val="0"/>
          <w:u w:val="none"/>
        </w:rPr>
        <w:t xml:space="preserve"> jelű táblázat tartalmazza.</w:t>
      </w:r>
    </w:p>
    <w:p w:rsidR="00A90629" w:rsidRPr="00405A2C" w:rsidRDefault="00A90629" w:rsidP="00AF2E14"/>
    <w:p w:rsidR="00FA1914" w:rsidRDefault="00FA1914">
      <w:pPr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AF2E14" w:rsidRPr="00E736A0" w:rsidRDefault="00AF2E14" w:rsidP="00AF2E14">
      <w:pPr>
        <w:rPr>
          <w:b/>
          <w:u w:val="single"/>
        </w:rPr>
      </w:pPr>
      <w:r w:rsidRPr="00E736A0">
        <w:rPr>
          <w:b/>
          <w:u w:val="single"/>
        </w:rPr>
        <w:lastRenderedPageBreak/>
        <w:t xml:space="preserve">A letéti </w:t>
      </w:r>
      <w:proofErr w:type="gramStart"/>
      <w:r w:rsidRPr="00E736A0">
        <w:rPr>
          <w:b/>
          <w:u w:val="single"/>
        </w:rPr>
        <w:t>számla nyitó</w:t>
      </w:r>
      <w:proofErr w:type="gramEnd"/>
      <w:r w:rsidRPr="00E736A0">
        <w:rPr>
          <w:b/>
          <w:u w:val="single"/>
        </w:rPr>
        <w:t xml:space="preserve"> és záró állománya, valamint az évközi forgalom tartalmi értékelése </w:t>
      </w:r>
    </w:p>
    <w:p w:rsidR="00AF2E14" w:rsidRPr="00405A2C" w:rsidRDefault="00AF2E14" w:rsidP="00AF2E14"/>
    <w:p w:rsidR="00A7742B" w:rsidRPr="00CC7326" w:rsidRDefault="00A7742B" w:rsidP="00A7742B">
      <w:r w:rsidRPr="00405A2C">
        <w:t>A 10032000-00289782-20000002 számú</w:t>
      </w:r>
      <w:r>
        <w:t xml:space="preserve"> letéti számlán az alábbi jogszabályokra hivatkozva kezelt a NÉBIH </w:t>
      </w:r>
      <w:r w:rsidRPr="00CC7326">
        <w:t xml:space="preserve">pénzeszközöket: </w:t>
      </w:r>
    </w:p>
    <w:p w:rsidR="00A7742B" w:rsidRPr="00CC7326" w:rsidRDefault="00A7742B" w:rsidP="00A7742B">
      <w:pPr>
        <w:rPr>
          <w:color w:val="000000"/>
          <w:sz w:val="23"/>
          <w:szCs w:val="23"/>
        </w:rPr>
      </w:pPr>
      <w:r w:rsidRPr="00CC7326">
        <w:t xml:space="preserve">- </w:t>
      </w:r>
      <w:r>
        <w:t xml:space="preserve">erdőfelújítási biztosíték kezelésére </w:t>
      </w:r>
      <w:r w:rsidRPr="00CC7326">
        <w:rPr>
          <w:bCs/>
          <w:color w:val="000000"/>
          <w:sz w:val="23"/>
          <w:szCs w:val="23"/>
        </w:rPr>
        <w:t xml:space="preserve">a 2009. évi XXXVII. törvény az erdőről, az erdő védelméről és az erdőgazdálkodásról </w:t>
      </w:r>
      <w:r w:rsidRPr="00CC7326">
        <w:rPr>
          <w:sz w:val="23"/>
          <w:szCs w:val="23"/>
        </w:rPr>
        <w:t xml:space="preserve">72. § (1) A 71. § (1) bekezdés d) pontja szerinti fakitermelés (tarvágás) végrehajtását az erdészeti hatóság </w:t>
      </w:r>
      <w:r w:rsidRPr="00CC7326">
        <w:rPr>
          <w:bCs/>
          <w:sz w:val="23"/>
          <w:szCs w:val="23"/>
        </w:rPr>
        <w:t>erdő felújítási biztosíték</w:t>
      </w:r>
      <w:r w:rsidRPr="00CC7326">
        <w:rPr>
          <w:sz w:val="23"/>
          <w:szCs w:val="23"/>
        </w:rPr>
        <w:t xml:space="preserve"> nyújtásához köti, ha az ingatlan tulajdonosa, vagy közös tulajdon esetében a tulajdonostársak tulajdoni hányada alapján számított legalább 25%-a kéri.</w:t>
      </w:r>
    </w:p>
    <w:p w:rsidR="00A7742B" w:rsidRPr="00CC7326" w:rsidRDefault="00A7742B" w:rsidP="00A7742B">
      <w:pPr>
        <w:pStyle w:val="Default"/>
        <w:jc w:val="both"/>
        <w:rPr>
          <w:sz w:val="23"/>
          <w:szCs w:val="23"/>
        </w:rPr>
      </w:pPr>
      <w:r w:rsidRPr="00CC7326">
        <w:rPr>
          <w:sz w:val="23"/>
          <w:szCs w:val="23"/>
        </w:rPr>
        <w:t>(2) Az erdészeti hatóság a 71. § (1) bekezdés d) pontja szerinti fakitermelés végrehajtását erdő felújítási biztosíték nyújtásához köti, ha</w:t>
      </w:r>
    </w:p>
    <w:p w:rsidR="00A7742B" w:rsidRPr="00CC7326" w:rsidRDefault="00A7742B" w:rsidP="00A7742B">
      <w:pPr>
        <w:pStyle w:val="Default"/>
        <w:jc w:val="both"/>
        <w:rPr>
          <w:sz w:val="23"/>
          <w:szCs w:val="23"/>
        </w:rPr>
      </w:pPr>
      <w:proofErr w:type="gramStart"/>
      <w:r w:rsidRPr="00CC7326">
        <w:rPr>
          <w:sz w:val="23"/>
          <w:szCs w:val="23"/>
        </w:rPr>
        <w:t>a</w:t>
      </w:r>
      <w:proofErr w:type="gramEnd"/>
      <w:r w:rsidRPr="00CC7326">
        <w:rPr>
          <w:sz w:val="23"/>
          <w:szCs w:val="23"/>
        </w:rPr>
        <w:t>) az erdőgazdálkodó a bejelentés benyújtását megelőző három évben az erdő felújítására vonatkozó erdőgazdálkodási szabályokat megsértette;</w:t>
      </w:r>
    </w:p>
    <w:p w:rsidR="00A7742B" w:rsidRDefault="00A7742B" w:rsidP="00A7742B">
      <w:pPr>
        <w:pStyle w:val="Default"/>
        <w:jc w:val="both"/>
        <w:rPr>
          <w:sz w:val="23"/>
          <w:szCs w:val="23"/>
        </w:rPr>
      </w:pPr>
      <w:r w:rsidRPr="00CC7326">
        <w:rPr>
          <w:sz w:val="23"/>
          <w:szCs w:val="23"/>
        </w:rPr>
        <w:t>b) az a jogi személy vagy jogi személyiséggel nem rendelkező szervezet, mely az erdőgazdálkodó tulajdonában áll, vagy amelynek az erdőgazdálkodó vezető tisztségviselője, a bejelentés benyújtását megelőző három évben az erdőgazdálkodási szabályokat megsértette;</w:t>
      </w:r>
    </w:p>
    <w:p w:rsidR="00A7742B" w:rsidRPr="00CC7326" w:rsidRDefault="00A7742B" w:rsidP="00A7742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CC7326">
        <w:t>erdészeti célú be- és kifizetések kezelésére</w:t>
      </w:r>
      <w:r>
        <w:t xml:space="preserve"> a személyi jövedelemadóról szóló 1995. évi CXVII. törvény 20. §</w:t>
      </w:r>
      <w:proofErr w:type="spellStart"/>
      <w:r>
        <w:t>-ának</w:t>
      </w:r>
      <w:proofErr w:type="spellEnd"/>
      <w:r>
        <w:t xml:space="preserve"> (1) bekezdése alapján, amely szerint az erdő véghasználattal érintett kitermelt vagy lábon álló faállomány értékesítéséből származó bevétel csökkenthető az erdészeti hatóság által erre a célra nyitott, elkülönített számlára befizetett összeggel, de legfeljebb a jogszabályban megállapított, a befejezett célállományra igényelhető normatív erdőfelújítási támogatási értéknek megfelelő összeggel;</w:t>
      </w:r>
    </w:p>
    <w:p w:rsidR="00A7742B" w:rsidRDefault="00A7742B" w:rsidP="00A7742B">
      <w:r w:rsidRPr="00CC7326">
        <w:t xml:space="preserve">- valamint a közbeszerzésekről szóló </w:t>
      </w:r>
      <w:r w:rsidRPr="00CC7326">
        <w:rPr>
          <w:bCs/>
          <w:sz w:val="23"/>
          <w:szCs w:val="23"/>
        </w:rPr>
        <w:t>2015. évi CXLIII. törvény</w:t>
      </w:r>
      <w:r w:rsidRPr="00CC7326">
        <w:rPr>
          <w:sz w:val="23"/>
          <w:szCs w:val="23"/>
        </w:rPr>
        <w:t xml:space="preserve"> </w:t>
      </w:r>
      <w:r w:rsidRPr="00CC7326">
        <w:t>134. § (2) bekezdése alapján a szerződés teljesítésének elmaradásával kapcsolatos igények biztosítékaként előírt biztosíték kezelésére</w:t>
      </w:r>
      <w:r>
        <w:t>.</w:t>
      </w:r>
      <w:r w:rsidRPr="00CC7326">
        <w:t xml:space="preserve">  </w:t>
      </w:r>
    </w:p>
    <w:p w:rsidR="00A7742B" w:rsidRPr="00CC7326" w:rsidRDefault="00A7742B" w:rsidP="00A7742B"/>
    <w:p w:rsidR="00A7742B" w:rsidRDefault="00A7742B" w:rsidP="00A7742B">
      <w:r>
        <w:t>A</w:t>
      </w:r>
      <w:r w:rsidRPr="00405A2C">
        <w:t xml:space="preserve"> letéti számla állományának változása: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985"/>
      </w:tblGrid>
      <w:tr w:rsidR="00A7742B" w:rsidRPr="00405A2C" w:rsidTr="009C4D47">
        <w:tc>
          <w:tcPr>
            <w:tcW w:w="1384" w:type="dxa"/>
          </w:tcPr>
          <w:p w:rsidR="00A7742B" w:rsidRPr="00405A2C" w:rsidRDefault="00A7742B" w:rsidP="009C4D47">
            <w:pPr>
              <w:jc w:val="left"/>
            </w:pPr>
            <w:r w:rsidRPr="00405A2C">
              <w:t>nyitó:</w:t>
            </w:r>
          </w:p>
        </w:tc>
        <w:tc>
          <w:tcPr>
            <w:tcW w:w="1985" w:type="dxa"/>
            <w:vAlign w:val="center"/>
          </w:tcPr>
          <w:p w:rsidR="00A7742B" w:rsidRPr="00405A2C" w:rsidRDefault="00A7742B" w:rsidP="009C4D47">
            <w:pPr>
              <w:jc w:val="right"/>
            </w:pPr>
            <w:r>
              <w:t>84.725</w:t>
            </w:r>
            <w:r w:rsidRPr="00405A2C">
              <w:t xml:space="preserve"> </w:t>
            </w:r>
            <w:r>
              <w:t>ezer Ft</w:t>
            </w:r>
          </w:p>
        </w:tc>
      </w:tr>
      <w:tr w:rsidR="00A7742B" w:rsidRPr="00405A2C" w:rsidTr="009C4D47">
        <w:tc>
          <w:tcPr>
            <w:tcW w:w="1384" w:type="dxa"/>
          </w:tcPr>
          <w:p w:rsidR="00A7742B" w:rsidRPr="00405A2C" w:rsidRDefault="00A7742B" w:rsidP="009C4D47">
            <w:pPr>
              <w:jc w:val="left"/>
            </w:pPr>
            <w:r w:rsidRPr="00405A2C">
              <w:t>bevétel (+):</w:t>
            </w:r>
          </w:p>
        </w:tc>
        <w:tc>
          <w:tcPr>
            <w:tcW w:w="1985" w:type="dxa"/>
            <w:vAlign w:val="center"/>
          </w:tcPr>
          <w:p w:rsidR="00A7742B" w:rsidRPr="00405A2C" w:rsidRDefault="00A7742B" w:rsidP="009C4D47">
            <w:pPr>
              <w:jc w:val="right"/>
            </w:pPr>
            <w:r>
              <w:t>22.619</w:t>
            </w:r>
            <w:r w:rsidRPr="00405A2C">
              <w:t xml:space="preserve"> </w:t>
            </w:r>
            <w:r>
              <w:t>ezer Ft</w:t>
            </w:r>
          </w:p>
        </w:tc>
      </w:tr>
      <w:tr w:rsidR="00A7742B" w:rsidRPr="00405A2C" w:rsidTr="009C4D47">
        <w:tc>
          <w:tcPr>
            <w:tcW w:w="1384" w:type="dxa"/>
          </w:tcPr>
          <w:p w:rsidR="00A7742B" w:rsidRPr="00405A2C" w:rsidRDefault="00A7742B" w:rsidP="009C4D47">
            <w:pPr>
              <w:jc w:val="left"/>
            </w:pPr>
            <w:r w:rsidRPr="00405A2C">
              <w:t>kiadás (-):</w:t>
            </w:r>
          </w:p>
        </w:tc>
        <w:tc>
          <w:tcPr>
            <w:tcW w:w="1985" w:type="dxa"/>
            <w:vAlign w:val="center"/>
          </w:tcPr>
          <w:p w:rsidR="00A7742B" w:rsidRPr="00405A2C" w:rsidRDefault="00A7742B" w:rsidP="009C4D47">
            <w:pPr>
              <w:jc w:val="right"/>
            </w:pPr>
            <w:r>
              <w:t>35.141</w:t>
            </w:r>
            <w:r w:rsidRPr="00405A2C">
              <w:t xml:space="preserve"> </w:t>
            </w:r>
            <w:r>
              <w:t>ezer Ft</w:t>
            </w:r>
          </w:p>
        </w:tc>
      </w:tr>
      <w:tr w:rsidR="00A7742B" w:rsidRPr="00405A2C" w:rsidTr="009C4D47">
        <w:tc>
          <w:tcPr>
            <w:tcW w:w="1384" w:type="dxa"/>
          </w:tcPr>
          <w:p w:rsidR="00A7742B" w:rsidRPr="00405A2C" w:rsidRDefault="00A7742B" w:rsidP="009C4D47">
            <w:pPr>
              <w:jc w:val="left"/>
            </w:pPr>
            <w:r w:rsidRPr="00405A2C">
              <w:t>záró:</w:t>
            </w:r>
          </w:p>
        </w:tc>
        <w:tc>
          <w:tcPr>
            <w:tcW w:w="1985" w:type="dxa"/>
            <w:vAlign w:val="center"/>
          </w:tcPr>
          <w:p w:rsidR="00A7742B" w:rsidRPr="00405A2C" w:rsidRDefault="00A7742B" w:rsidP="009C4D47">
            <w:pPr>
              <w:jc w:val="right"/>
            </w:pPr>
            <w:r>
              <w:t>72.203</w:t>
            </w:r>
            <w:r w:rsidRPr="00405A2C">
              <w:t xml:space="preserve"> </w:t>
            </w:r>
            <w:r>
              <w:t>ezer Ft</w:t>
            </w:r>
          </w:p>
        </w:tc>
      </w:tr>
    </w:tbl>
    <w:p w:rsidR="00A7742B" w:rsidRPr="00405A2C" w:rsidRDefault="00A7742B" w:rsidP="00A7742B"/>
    <w:p w:rsidR="00A7742B" w:rsidRDefault="00A7742B" w:rsidP="00A7742B">
      <w:r>
        <w:t>Az erdő</w:t>
      </w:r>
      <w:r w:rsidRPr="00405A2C">
        <w:t>felújítási kötelezettségekhez kapcsolódóan 201</w:t>
      </w:r>
      <w:r>
        <w:t>6</w:t>
      </w:r>
      <w:r w:rsidRPr="00405A2C">
        <w:t>. évben</w:t>
      </w:r>
      <w:r>
        <w:t xml:space="preserve"> tizenkettő különböző erdő-</w:t>
      </w:r>
      <w:r w:rsidRPr="00405A2C">
        <w:t>birtokossági társulat</w:t>
      </w:r>
      <w:r>
        <w:t xml:space="preserve"> és erdőgazdálkodó </w:t>
      </w:r>
      <w:r w:rsidRPr="00405A2C">
        <w:t>teljesített erdő felújítási biztosíték-befizetést</w:t>
      </w:r>
      <w:r>
        <w:t>, az összegek 15 ezer Ft és 9.277 ezer Ft közötti nagyságrendűek voltak.</w:t>
      </w:r>
      <w:r w:rsidRPr="00405A2C">
        <w:t xml:space="preserve"> Ebben az évben </w:t>
      </w:r>
      <w:r>
        <w:t>kilenc alkalommal történt</w:t>
      </w:r>
      <w:r w:rsidRPr="00405A2C">
        <w:t xml:space="preserve"> erdő fel</w:t>
      </w:r>
      <w:r>
        <w:t>újítási biztosíték visszafizetés</w:t>
      </w:r>
      <w:r w:rsidRPr="00405A2C">
        <w:t>.</w:t>
      </w:r>
      <w:r>
        <w:t xml:space="preserve"> A visszafizetett letétek összegeit 2011 és 2015 között fizették be az erdőgazdálkodók, mind erdőfelújítási biztosítékként, mind pedig az Szja. tv. </w:t>
      </w:r>
      <w:proofErr w:type="gramStart"/>
      <w:r>
        <w:t>alapján</w:t>
      </w:r>
      <w:proofErr w:type="gramEnd"/>
      <w:r>
        <w:t>.</w:t>
      </w:r>
      <w:r w:rsidRPr="00405A2C">
        <w:t xml:space="preserve"> </w:t>
      </w:r>
    </w:p>
    <w:p w:rsidR="00A7742B" w:rsidRDefault="00A7742B" w:rsidP="00A7742B"/>
    <w:p w:rsidR="00A7742B" w:rsidRDefault="00A7742B" w:rsidP="00A7742B">
      <w:r>
        <w:t xml:space="preserve">A Kbt.-re hivatkozva 2016-ben egy alkalommal történt biztosíték visszafizetés: az új és használt gépjárművek flottaüzemeltetése tárgyban kiírt közbeszerzési eljárás kapcsán az </w:t>
      </w:r>
      <w:proofErr w:type="spellStart"/>
      <w:r>
        <w:t>Arval</w:t>
      </w:r>
      <w:proofErr w:type="spellEnd"/>
      <w:r>
        <w:t xml:space="preserve"> Magyarország </w:t>
      </w:r>
      <w:proofErr w:type="spellStart"/>
      <w:r>
        <w:t>Járműparkkezelő</w:t>
      </w:r>
      <w:proofErr w:type="spellEnd"/>
      <w:r>
        <w:t xml:space="preserve"> Kft. által 2015. évben, 20.000 ezer Ft összegben teljesített ajánlati biztosítékot fizettük vissza.</w:t>
      </w:r>
    </w:p>
    <w:p w:rsidR="00A7742B" w:rsidRDefault="00A7742B" w:rsidP="00A7742B"/>
    <w:p w:rsidR="00ED0F35" w:rsidRDefault="00A7742B" w:rsidP="009C06F0">
      <w:r>
        <w:t xml:space="preserve">Hivatkozva a 1312/2016. (VI.13.) </w:t>
      </w:r>
      <w:proofErr w:type="spellStart"/>
      <w:r>
        <w:t>Korm.határozatra</w:t>
      </w:r>
      <w:proofErr w:type="spellEnd"/>
      <w:r>
        <w:t xml:space="preserve">, a 2016.évi CIV. törvényre, a 378/2016 (XII.2.) és a 383/2016. (XII.2.) </w:t>
      </w:r>
      <w:proofErr w:type="spellStart"/>
      <w:r>
        <w:t>Korm.rendeletekre</w:t>
      </w:r>
      <w:proofErr w:type="spellEnd"/>
      <w:r>
        <w:t xml:space="preserve">, a NÉBIH és a Pest Megyei Kormányhivatal között 2016. november 4-én átadás-átvételi megállapodás jött létre, amely a letéti </w:t>
      </w:r>
      <w:proofErr w:type="gramStart"/>
      <w:r>
        <w:t>számlán</w:t>
      </w:r>
      <w:proofErr w:type="gramEnd"/>
      <w:r>
        <w:t xml:space="preserve"> az erdészeti jogszabályokon nyugvó befizetések egyenlegének átvezetését írta elő a Pest Megyei Kormányhivatal részére a jogutódlás miatt. A bankegyenleg átvezetése </w:t>
      </w:r>
      <w:r>
        <w:lastRenderedPageBreak/>
        <w:t>2017. február 23-án történt meg, az ezután beérkezett bevétel 2017. március 22-én került átvezetésre. Az átvezetéssel párhuzamosan tételes kimutatás készült a letéti számlán található bevételekről.</w:t>
      </w:r>
      <w:r w:rsidR="009C06F0">
        <w:t xml:space="preserve"> </w:t>
      </w:r>
    </w:p>
    <w:p w:rsidR="009C06F0" w:rsidRDefault="009C06F0" w:rsidP="009C06F0">
      <w:pPr>
        <w:rPr>
          <w:b/>
          <w:u w:val="single"/>
        </w:rPr>
      </w:pPr>
    </w:p>
    <w:p w:rsidR="00841257" w:rsidRPr="00841257" w:rsidRDefault="00841257" w:rsidP="00841257">
      <w:pPr>
        <w:rPr>
          <w:b/>
          <w:u w:val="single"/>
        </w:rPr>
      </w:pPr>
      <w:r w:rsidRPr="00841257">
        <w:rPr>
          <w:b/>
          <w:u w:val="single"/>
        </w:rPr>
        <w:t>A kincstári finanszírozás, az előirányzat-gazdálkodási rendszer, a kincstári információ szolgáltatás tapasztalatai</w:t>
      </w:r>
    </w:p>
    <w:p w:rsidR="00841257" w:rsidRDefault="00841257" w:rsidP="00841257"/>
    <w:p w:rsidR="00841257" w:rsidRDefault="00841257" w:rsidP="00841257">
      <w:r>
        <w:t>Elvitathatatlan, hogy a Kincstár és a költségvetési intézmények között adatszolgáltatás területén robbanásszerű informatikai fejlődés ment végbe. Egy területen viszont a 90-es évek szintjén ragadtunk</w:t>
      </w:r>
      <w:r w:rsidR="007A77D1">
        <w:t>,</w:t>
      </w:r>
      <w:r>
        <w:t xml:space="preserve"> ez pedig az ERA kódok helyretétele a PF1-K jelű nyomtatványon. A nyomtat</w:t>
      </w:r>
      <w:r w:rsidR="007A77D1">
        <w:t>vány Excel formátumban tölthető</w:t>
      </w:r>
      <w:r>
        <w:t xml:space="preserve"> ki</w:t>
      </w:r>
      <w:r w:rsidR="007A77D1">
        <w:t>, de az Excel adta lehetőségeket</w:t>
      </w:r>
      <w:r>
        <w:t xml:space="preserve"> nem hasznosítja a nyomtatvány</w:t>
      </w:r>
      <w:r w:rsidR="007A77D1">
        <w:t>, megmaradt egy gépírással kitöltött nyomtatvány szintjén: hiszen pl. számjegyeket</w:t>
      </w:r>
      <w:r>
        <w:t xml:space="preserve"> külön cellába kell beírni, ami az ellen</w:t>
      </w:r>
      <w:r w:rsidR="007A77D1">
        <w:t>őrzési-összeadási lehetőségeket kizárja</w:t>
      </w:r>
      <w:r>
        <w:t xml:space="preserve">. A Kincstáron kívüli pénzforgalom rendezése már rendelkezésre áll az </w:t>
      </w:r>
      <w:proofErr w:type="spellStart"/>
      <w:r>
        <w:t>eAdat</w:t>
      </w:r>
      <w:proofErr w:type="spellEnd"/>
      <w:r>
        <w:t xml:space="preserve"> rendszeren, nagy könnyebbség lenne az intézményeknek, ha ezen a felületen lehetne feladni a Kincstáron belüli ERA rendezéseket is.</w:t>
      </w:r>
    </w:p>
    <w:p w:rsidR="00841257" w:rsidRDefault="00841257" w:rsidP="00841257"/>
    <w:p w:rsidR="00841257" w:rsidRDefault="00841257" w:rsidP="00841257">
      <w:r>
        <w:t>Az államháztartáson belüli utalásokkal kapcsolatban, amióta bevezetésre került a kötelező ERA párok alkalmazása, többször előfordul, hogy nem teljesülnek utalások a nem megfelelő ERA pár alkalmazása miatt. A Kincstártól történő felvilágosítás</w:t>
      </w:r>
      <w:r w:rsidR="009838ED">
        <w:t xml:space="preserve"> </w:t>
      </w:r>
      <w:r>
        <w:t>kéréskor azt a választ kapjuk, hogy nem mondhatják meg mi lett volna a teljesüléshez szükséges ERA. Ez egy óriási ellentmondás,</w:t>
      </w:r>
      <w:r w:rsidR="009838ED">
        <w:t xml:space="preserve"> a kincstári ügyfelek</w:t>
      </w:r>
      <w:r w:rsidR="0088528A">
        <w:t>et nem támogató hozzáállás</w:t>
      </w:r>
      <w:r w:rsidR="009838ED">
        <w:t>. A</w:t>
      </w:r>
      <w:r>
        <w:t xml:space="preserve"> Kincstár honlapján </w:t>
      </w:r>
      <w:r w:rsidR="009838ED">
        <w:t xml:space="preserve">ugyan </w:t>
      </w:r>
      <w:r>
        <w:t>található erre vona</w:t>
      </w:r>
      <w:r w:rsidR="009838ED">
        <w:t xml:space="preserve">tkozó információ, de nem </w:t>
      </w:r>
      <w:proofErr w:type="spellStart"/>
      <w:r w:rsidR="009838ED">
        <w:t>teljes</w:t>
      </w:r>
      <w:r>
        <w:t>körű</w:t>
      </w:r>
      <w:proofErr w:type="spellEnd"/>
      <w:r>
        <w:t>. Javasolnánk ennek felülvizsgálatát és újbóli közzétételét.</w:t>
      </w:r>
    </w:p>
    <w:p w:rsidR="009838ED" w:rsidRDefault="009838ED" w:rsidP="00841257"/>
    <w:p w:rsidR="009838ED" w:rsidRDefault="009C4D47" w:rsidP="00841257">
      <w:r>
        <w:t>A rovatokon</w:t>
      </w:r>
      <w:r w:rsidR="005502A4">
        <w:t xml:space="preserve"> </w:t>
      </w:r>
      <w:r>
        <w:t xml:space="preserve">(ERA-kon) alapuló költségvetési gazdálkodás 2014-ben indult el, ezért ennyi év távlatából, az intézményi gazdálkodás szemszögéből már megállapíthatjuk, hogy az </w:t>
      </w:r>
      <w:r w:rsidRPr="00B552DE">
        <w:rPr>
          <w:b/>
        </w:rPr>
        <w:t xml:space="preserve">intézményi tervezhetőséget, kiszámíthatóságot e merev rendszer </w:t>
      </w:r>
      <w:r w:rsidR="00B552DE">
        <w:rPr>
          <w:b/>
        </w:rPr>
        <w:t xml:space="preserve">igazán </w:t>
      </w:r>
      <w:r w:rsidRPr="00B552DE">
        <w:rPr>
          <w:b/>
        </w:rPr>
        <w:t>nem segíti, ellenben számos plusz adminisztratív kötelezettséget rótt ránk</w:t>
      </w:r>
      <w:r>
        <w:t xml:space="preserve">. Az elmúlt évek során a közigazgatás átszervezésével nagy, összevont hivatalok jöttek létre, amelyek működésének volumenét megtervezni nem lehet rovat mélységű finomsággal, emiatt folytonos </w:t>
      </w:r>
      <w:r w:rsidR="005502A4">
        <w:t>ERA-</w:t>
      </w:r>
      <w:r>
        <w:t>rendezésekre</w:t>
      </w:r>
      <w:r w:rsidR="005502A4">
        <w:t>, egyeztetésekre</w:t>
      </w:r>
      <w:r>
        <w:t xml:space="preserve"> van szükség. Elég csak egy olyan eseményre gondolni a NÉBIH 2016-os működésben, mint a madárinfluenza-járvány vagy a bőrcsomósodáskór veszélye, máris megnő a szakmai any</w:t>
      </w:r>
      <w:r w:rsidR="005502A4">
        <w:t>agok vásárlásának szükségessége a tervhez képest.</w:t>
      </w:r>
      <w:r>
        <w:t xml:space="preserve"> A vezetői </w:t>
      </w:r>
      <w:r w:rsidR="005502A4">
        <w:t>döntések szemszögéből</w:t>
      </w:r>
      <w:r>
        <w:t xml:space="preserve"> is egyértelműen látszik, hogy</w:t>
      </w:r>
      <w:r w:rsidR="0088528A">
        <w:t xml:space="preserve"> nincs igény mélyebb információ</w:t>
      </w:r>
      <w:r>
        <w:t xml:space="preserve">tartalomra, mint a kiemelt előirányzatok szintje, azaz hogy mennyi a személyi juttatások, dologi kiadások és felhalmozási kiadások </w:t>
      </w:r>
      <w:r w:rsidR="005502A4">
        <w:t xml:space="preserve">előirányzata és a megtett kötelezettségvállalások összege, valamint az ehhez várható forrás. Különösen bonyolult a rovat szintű gazdálkodás az elszámolási kötelezettségekkel biztosított áht-n belüli támogatási szerződéseknél, póttámogatásoknál, hiszen pl. egy olyan apróság is megzavarja a rovatszintű elszámolást a tervhez képest, ha a kiválasztott partner alanyi </w:t>
      </w:r>
      <w:r w:rsidR="00196281">
        <w:t>áfa mentes</w:t>
      </w:r>
      <w:r w:rsidR="005502A4">
        <w:t xml:space="preserve"> gazdálkodó.</w:t>
      </w:r>
      <w:r w:rsidR="0088528A">
        <w:t xml:space="preserve"> A rovatszintű gazdálkodás és </w:t>
      </w:r>
      <w:r w:rsidR="00944C69">
        <w:t xml:space="preserve">a </w:t>
      </w:r>
      <w:r w:rsidR="0088528A">
        <w:t xml:space="preserve">havi időközi jelentések korlátozzák a gazdálkodás normál ügymenetét is, hiszen </w:t>
      </w:r>
      <w:r w:rsidR="00944C69">
        <w:t xml:space="preserve">havi szinten kell figyelni a kötelezettség-vállalások, szabad kiadási rovat lehetőségek és a bevételek várható szintjét, holott a szerződések </w:t>
      </w:r>
      <w:r w:rsidR="001C3CEF">
        <w:t>rendszerint</w:t>
      </w:r>
      <w:r w:rsidR="00944C69">
        <w:t xml:space="preserve"> havinál hosszabb időtávra készülnek, és a várható bevételek is előrejelezhetőek, számíthatóak éves szinten.   </w:t>
      </w:r>
      <w:r w:rsidR="0088528A">
        <w:t xml:space="preserve">  </w:t>
      </w:r>
    </w:p>
    <w:p w:rsidR="005502A4" w:rsidRDefault="005502A4" w:rsidP="00841257"/>
    <w:p w:rsidR="00797646" w:rsidRDefault="005502A4" w:rsidP="00841257">
      <w:r>
        <w:t>Összességében célszerű lenne felülvizsgálni az államháztartási szabályokat, kötelező adatszolgáltatásokat, hogy mennyiben járulnak hozzá a költségvetési</w:t>
      </w:r>
      <w:r w:rsidR="00944C69">
        <w:t xml:space="preserve"> gazdálkodás </w:t>
      </w:r>
      <w:r w:rsidR="00944C69">
        <w:lastRenderedPageBreak/>
        <w:t>átláthatóságához, annak tükrében, hogy mennyivel növelik egyúttal a külső-belső bürokráciát</w:t>
      </w:r>
      <w:r>
        <w:t>. Ehhez</w:t>
      </w:r>
      <w:r w:rsidR="00163B78">
        <w:t xml:space="preserve"> is egy konkrét példával élve: az átláthatósági nyilatkozat minden szerződés esetében kötelező, holott a nyílt közbeszerzési eljárások értékhatárát el nem érő beszerzések zöme </w:t>
      </w:r>
      <w:r w:rsidR="00987F14">
        <w:t xml:space="preserve">helyben, </w:t>
      </w:r>
      <w:r w:rsidR="00163B78">
        <w:t xml:space="preserve">magyar </w:t>
      </w:r>
      <w:r w:rsidR="00196281">
        <w:t>kkv-kkal</w:t>
      </w:r>
      <w:r w:rsidR="00163B78">
        <w:t xml:space="preserve"> bonyolódik. Ezek tulajdonosai jórészt magánszemélyek, így az átláthatósági nyilatkozat bekérése feleslegesen növeli </w:t>
      </w:r>
      <w:r w:rsidR="0088528A">
        <w:t xml:space="preserve">mind a szállító, mind </w:t>
      </w:r>
      <w:r w:rsidR="001C3CEF">
        <w:t>a költségvetési szervek</w:t>
      </w:r>
      <w:r w:rsidR="0088528A">
        <w:t xml:space="preserve"> részéről </w:t>
      </w:r>
      <w:r w:rsidR="00163B78">
        <w:t>az ügyintézést</w:t>
      </w:r>
      <w:r w:rsidR="00987F14">
        <w:t xml:space="preserve">, </w:t>
      </w:r>
      <w:r w:rsidR="001C3CEF">
        <w:t xml:space="preserve">de </w:t>
      </w:r>
      <w:r w:rsidR="00987F14">
        <w:t>érdemi kockázatot nem csökkent.</w:t>
      </w:r>
      <w:r w:rsidR="001C3CEF">
        <w:t xml:space="preserve"> Felülvizsgálatra szorul a „kisösszeg” értékhatára, mivel az mind a követeléseknél, mind a kötelezettség-vállalásoknál hosszú évek óta 100 ezer Ft. </w:t>
      </w:r>
    </w:p>
    <w:p w:rsidR="00FA1914" w:rsidRDefault="00FA1914" w:rsidP="00841257"/>
    <w:p w:rsidR="00322113" w:rsidRDefault="00FA1914" w:rsidP="00322113">
      <w:r>
        <w:t xml:space="preserve">Az egyes </w:t>
      </w:r>
      <w:r w:rsidR="00CD15C3">
        <w:t>rovatok</w:t>
      </w:r>
      <w:r>
        <w:t xml:space="preserve"> tartalmát felül kellene vizsgálni az egységes jogi szabályozás, az egységes értelmezés és az egységes adatszolgáltatások érdekében. </w:t>
      </w:r>
      <w:r w:rsidR="00322113">
        <w:t>Példaként említhetjük, hogy</w:t>
      </w:r>
      <w:r w:rsidR="00D40D26">
        <w:t xml:space="preserve"> a</w:t>
      </w:r>
      <w:r>
        <w:t xml:space="preserve"> költségvetési szervek kommunikációs és PR kiadásai</w:t>
      </w:r>
      <w:r w:rsidR="00322113">
        <w:t>nak k</w:t>
      </w:r>
      <w:r w:rsidR="00D40D26">
        <w:t>örére ad egy d</w:t>
      </w:r>
      <w:r w:rsidR="00322113">
        <w:t>efiníciót</w:t>
      </w:r>
      <w:r w:rsidR="00D40D26">
        <w:t xml:space="preserve"> </w:t>
      </w:r>
      <w:r w:rsidR="00322113">
        <w:t>a</w:t>
      </w:r>
      <w:r w:rsidR="00322113">
        <w:t xml:space="preserve"> N</w:t>
      </w:r>
      <w:r w:rsidR="00322113" w:rsidRPr="00322113">
        <w:rPr>
          <w:i/>
        </w:rPr>
        <w:t>emzeti Kommunikációs Hivatalról és a kormányzati kommunikációs beszerzések központosított közbeszerzési rendszeréről</w:t>
      </w:r>
      <w:r w:rsidR="00322113">
        <w:rPr>
          <w:i/>
        </w:rPr>
        <w:t xml:space="preserve"> szóló </w:t>
      </w:r>
      <w:r w:rsidR="00322113">
        <w:t>247/2014. (X. 1.) Korm. rendelet</w:t>
      </w:r>
      <w:r w:rsidR="00322113">
        <w:t xml:space="preserve">, ám </w:t>
      </w:r>
      <w:r w:rsidR="00CD15C3">
        <w:t xml:space="preserve">ez </w:t>
      </w:r>
      <w:r w:rsidR="00322113">
        <w:t>nem felel me</w:t>
      </w:r>
      <w:r w:rsidR="00CD15C3">
        <w:t xml:space="preserve">g </w:t>
      </w:r>
      <w:r w:rsidR="00CD15C3" w:rsidRPr="00CD15C3">
        <w:rPr>
          <w:i/>
        </w:rPr>
        <w:t>az államháztartás számviteléről</w:t>
      </w:r>
      <w:r w:rsidR="00CD15C3">
        <w:t xml:space="preserve"> szóló 4/2013</w:t>
      </w:r>
      <w:r w:rsidR="00322113">
        <w:t xml:space="preserve"> </w:t>
      </w:r>
      <w:r w:rsidR="00CD15C3">
        <w:t>(I.11.) Korm.rendeletben meghatározott „</w:t>
      </w:r>
      <w:r w:rsidR="00CD15C3" w:rsidRPr="00CD15C3">
        <w:t>K342. Reklám- és propagandakiadások</w:t>
      </w:r>
      <w:r w:rsidR="00CD15C3">
        <w:t xml:space="preserve">” rovat tartalmának. Az adatgyűjtést, a kiadások áttekinthetőségét és a félreértések elkerülését segítené, ha a számviteli rend e szempontból is rendszeresen központi, átfogó felülvizsgálatra kerülne. </w:t>
      </w:r>
    </w:p>
    <w:p w:rsidR="00322113" w:rsidRDefault="00322113" w:rsidP="00322113"/>
    <w:p w:rsidR="005502A4" w:rsidRDefault="005502A4" w:rsidP="00841257"/>
    <w:p w:rsidR="00CB6693" w:rsidRDefault="00DE2AFA" w:rsidP="00DE2AFA">
      <w:r w:rsidRPr="00405A2C">
        <w:t xml:space="preserve">Budapest, </w:t>
      </w:r>
      <w:r w:rsidR="006F2A4A">
        <w:t>2017. április 19.</w:t>
      </w:r>
    </w:p>
    <w:p w:rsidR="006F2A4A" w:rsidRDefault="006F2A4A" w:rsidP="00DE2AFA"/>
    <w:p w:rsidR="00944C69" w:rsidRDefault="00944C69" w:rsidP="00DE2AFA"/>
    <w:p w:rsidR="006F2A4A" w:rsidRDefault="006F2A4A" w:rsidP="00DE2AFA">
      <w:bookmarkStart w:id="0" w:name="_GoBack"/>
      <w:bookmarkEnd w:id="0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867"/>
        <w:gridCol w:w="1842"/>
        <w:gridCol w:w="2804"/>
        <w:gridCol w:w="880"/>
      </w:tblGrid>
      <w:tr w:rsidR="006F2A4A" w:rsidTr="006F2A4A">
        <w:tc>
          <w:tcPr>
            <w:tcW w:w="817" w:type="dxa"/>
          </w:tcPr>
          <w:p w:rsidR="006F2A4A" w:rsidRDefault="006F2A4A" w:rsidP="00DE2AFA"/>
        </w:tc>
        <w:tc>
          <w:tcPr>
            <w:tcW w:w="2867" w:type="dxa"/>
            <w:tcBorders>
              <w:bottom w:val="dotted" w:sz="4" w:space="0" w:color="auto"/>
            </w:tcBorders>
          </w:tcPr>
          <w:p w:rsidR="006F2A4A" w:rsidRDefault="006F2A4A" w:rsidP="00DE2AFA"/>
        </w:tc>
        <w:tc>
          <w:tcPr>
            <w:tcW w:w="1842" w:type="dxa"/>
          </w:tcPr>
          <w:p w:rsidR="006F2A4A" w:rsidRDefault="006F2A4A" w:rsidP="00DE2AFA"/>
        </w:tc>
        <w:tc>
          <w:tcPr>
            <w:tcW w:w="2804" w:type="dxa"/>
            <w:tcBorders>
              <w:bottom w:val="dotted" w:sz="4" w:space="0" w:color="auto"/>
            </w:tcBorders>
          </w:tcPr>
          <w:p w:rsidR="006F2A4A" w:rsidRDefault="006F2A4A" w:rsidP="00DE2AFA"/>
        </w:tc>
        <w:tc>
          <w:tcPr>
            <w:tcW w:w="880" w:type="dxa"/>
          </w:tcPr>
          <w:p w:rsidR="006F2A4A" w:rsidRDefault="006F2A4A" w:rsidP="00DE2AFA"/>
        </w:tc>
      </w:tr>
      <w:tr w:rsidR="006F2A4A" w:rsidTr="006F2A4A">
        <w:tc>
          <w:tcPr>
            <w:tcW w:w="817" w:type="dxa"/>
          </w:tcPr>
          <w:p w:rsidR="006F2A4A" w:rsidRDefault="006F2A4A" w:rsidP="00DE2AFA"/>
        </w:tc>
        <w:tc>
          <w:tcPr>
            <w:tcW w:w="2867" w:type="dxa"/>
            <w:tcBorders>
              <w:top w:val="dotted" w:sz="4" w:space="0" w:color="auto"/>
            </w:tcBorders>
          </w:tcPr>
          <w:p w:rsidR="006F2A4A" w:rsidRDefault="006F2A4A" w:rsidP="006F2A4A">
            <w:pPr>
              <w:jc w:val="center"/>
            </w:pPr>
            <w:r>
              <w:t>Vaspöri Eszter</w:t>
            </w:r>
          </w:p>
        </w:tc>
        <w:tc>
          <w:tcPr>
            <w:tcW w:w="1842" w:type="dxa"/>
          </w:tcPr>
          <w:p w:rsidR="006F2A4A" w:rsidRDefault="006F2A4A" w:rsidP="006F2A4A">
            <w:pPr>
              <w:jc w:val="center"/>
            </w:pPr>
          </w:p>
        </w:tc>
        <w:tc>
          <w:tcPr>
            <w:tcW w:w="2804" w:type="dxa"/>
            <w:tcBorders>
              <w:top w:val="dotted" w:sz="4" w:space="0" w:color="auto"/>
            </w:tcBorders>
          </w:tcPr>
          <w:p w:rsidR="006F2A4A" w:rsidRDefault="006F2A4A" w:rsidP="006F2A4A">
            <w:pPr>
              <w:jc w:val="center"/>
            </w:pPr>
            <w:r>
              <w:t>d</w:t>
            </w:r>
            <w:r w:rsidRPr="00405A2C">
              <w:t>r. Oravecz Márton</w:t>
            </w:r>
          </w:p>
        </w:tc>
        <w:tc>
          <w:tcPr>
            <w:tcW w:w="880" w:type="dxa"/>
          </w:tcPr>
          <w:p w:rsidR="006F2A4A" w:rsidRDefault="006F2A4A" w:rsidP="00DE2AFA"/>
        </w:tc>
      </w:tr>
      <w:tr w:rsidR="006F2A4A" w:rsidTr="006F2A4A">
        <w:tc>
          <w:tcPr>
            <w:tcW w:w="817" w:type="dxa"/>
          </w:tcPr>
          <w:p w:rsidR="006F2A4A" w:rsidRDefault="006F2A4A" w:rsidP="00DE2AFA"/>
        </w:tc>
        <w:tc>
          <w:tcPr>
            <w:tcW w:w="2867" w:type="dxa"/>
          </w:tcPr>
          <w:p w:rsidR="006F2A4A" w:rsidRDefault="006F2A4A" w:rsidP="006F2A4A">
            <w:pPr>
              <w:jc w:val="center"/>
            </w:pPr>
            <w:r w:rsidRPr="00405A2C">
              <w:t>költségvetési igazgató</w:t>
            </w:r>
          </w:p>
        </w:tc>
        <w:tc>
          <w:tcPr>
            <w:tcW w:w="1842" w:type="dxa"/>
          </w:tcPr>
          <w:p w:rsidR="006F2A4A" w:rsidRDefault="006F2A4A" w:rsidP="006F2A4A">
            <w:pPr>
              <w:jc w:val="center"/>
            </w:pPr>
          </w:p>
        </w:tc>
        <w:tc>
          <w:tcPr>
            <w:tcW w:w="2804" w:type="dxa"/>
          </w:tcPr>
          <w:p w:rsidR="006F2A4A" w:rsidRDefault="006F2A4A" w:rsidP="006F2A4A">
            <w:pPr>
              <w:jc w:val="center"/>
            </w:pPr>
            <w:r w:rsidRPr="00405A2C">
              <w:t>elnök</w:t>
            </w:r>
          </w:p>
          <w:p w:rsidR="001D07E4" w:rsidRDefault="001D07E4" w:rsidP="006F2A4A">
            <w:pPr>
              <w:jc w:val="center"/>
            </w:pPr>
          </w:p>
        </w:tc>
        <w:tc>
          <w:tcPr>
            <w:tcW w:w="880" w:type="dxa"/>
          </w:tcPr>
          <w:p w:rsidR="006F2A4A" w:rsidRDefault="006F2A4A" w:rsidP="00DE2AFA"/>
        </w:tc>
      </w:tr>
    </w:tbl>
    <w:p w:rsidR="006F2A4A" w:rsidRPr="00405A2C" w:rsidRDefault="006F2A4A" w:rsidP="006F2A4A">
      <w:pPr>
        <w:jc w:val="center"/>
      </w:pPr>
    </w:p>
    <w:p w:rsidR="006F2A4A" w:rsidRDefault="001D07E4" w:rsidP="006F2A4A">
      <w:pPr>
        <w:pStyle w:val="lfej"/>
      </w:pPr>
      <w:r>
        <w:rPr>
          <w:noProof/>
        </w:rPr>
        <w:drawing>
          <wp:inline distT="0" distB="0" distL="0" distR="0">
            <wp:extent cx="5716905" cy="95250"/>
            <wp:effectExtent l="0" t="0" r="0" b="0"/>
            <wp:docPr id="15" name="Kép 15" descr="C:\Program Files\Microsoft Office\MEDIA\OFFICE14\Lines\BD1515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OFFICE14\Lines\BD15156_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6A5" w:rsidRDefault="004226A5" w:rsidP="006F2A4A">
      <w:pPr>
        <w:pStyle w:val="lfej"/>
      </w:pPr>
    </w:p>
    <w:p w:rsidR="00CD15C3" w:rsidRDefault="00CD15C3" w:rsidP="001D07E4">
      <w:pPr>
        <w:pStyle w:val="lfej"/>
        <w:jc w:val="center"/>
      </w:pPr>
    </w:p>
    <w:p w:rsidR="006F2A4A" w:rsidRPr="00405A2C" w:rsidRDefault="006F2A4A" w:rsidP="006F2A4A">
      <w:pPr>
        <w:pStyle w:val="lfej"/>
      </w:pPr>
      <w:r w:rsidRPr="00405A2C">
        <w:t xml:space="preserve">Az intézmény felügyeletét ellátó </w:t>
      </w:r>
      <w:r>
        <w:t>helyettes államtitkár</w:t>
      </w:r>
      <w:r w:rsidRPr="00405A2C">
        <w:t xml:space="preserve"> záradéka:</w:t>
      </w:r>
    </w:p>
    <w:p w:rsidR="006F2A4A" w:rsidRPr="00405A2C" w:rsidRDefault="006F2A4A" w:rsidP="006F2A4A">
      <w:pPr>
        <w:pStyle w:val="lfej"/>
      </w:pPr>
    </w:p>
    <w:p w:rsidR="006F2A4A" w:rsidRPr="00405A2C" w:rsidRDefault="006F2A4A" w:rsidP="006F2A4A">
      <w:pPr>
        <w:pStyle w:val="lfej"/>
      </w:pPr>
      <w:r w:rsidRPr="00405A2C">
        <w:t>Az intézmény 201</w:t>
      </w:r>
      <w:r>
        <w:t>6</w:t>
      </w:r>
      <w:r w:rsidRPr="00405A2C">
        <w:t>. évi költségvetési előirányzataival és létszámával összefüggésben jóváhagyott feladatainak szakmai teljesítését a szöveges beszámoló figyelembevételével:</w:t>
      </w:r>
    </w:p>
    <w:p w:rsidR="006F2A4A" w:rsidRPr="00405A2C" w:rsidRDefault="006F2A4A" w:rsidP="006F2A4A">
      <w:pPr>
        <w:pStyle w:val="lfej"/>
      </w:pPr>
    </w:p>
    <w:p w:rsidR="006F2A4A" w:rsidRPr="00405A2C" w:rsidRDefault="006F2A4A" w:rsidP="006F2A4A">
      <w:pPr>
        <w:pStyle w:val="lfej"/>
        <w:numPr>
          <w:ilvl w:val="0"/>
          <w:numId w:val="9"/>
        </w:numPr>
      </w:pPr>
      <w:r>
        <w:t>jóváhagyom;</w:t>
      </w:r>
    </w:p>
    <w:p w:rsidR="006F2A4A" w:rsidRDefault="006F2A4A" w:rsidP="006F2A4A">
      <w:pPr>
        <w:pStyle w:val="lfej"/>
      </w:pPr>
    </w:p>
    <w:p w:rsidR="006F2A4A" w:rsidRPr="00405A2C" w:rsidRDefault="006F2A4A" w:rsidP="006F2A4A">
      <w:pPr>
        <w:pStyle w:val="lfej"/>
        <w:numPr>
          <w:ilvl w:val="0"/>
          <w:numId w:val="9"/>
        </w:numPr>
      </w:pPr>
      <w:r>
        <w:t>n</w:t>
      </w:r>
      <w:r w:rsidRPr="00405A2C">
        <w:t>em hagyom jóvá, ezért célellenőrzés lefolytatását kezdeményezem.</w:t>
      </w:r>
    </w:p>
    <w:p w:rsidR="006F2A4A" w:rsidRPr="00405A2C" w:rsidRDefault="006F2A4A" w:rsidP="006F2A4A">
      <w:pPr>
        <w:pStyle w:val="lfej"/>
      </w:pPr>
    </w:p>
    <w:p w:rsidR="006F2A4A" w:rsidRPr="00405A2C" w:rsidRDefault="006F2A4A" w:rsidP="006F2A4A">
      <w:pPr>
        <w:pStyle w:val="lfej"/>
      </w:pPr>
      <w:r w:rsidRPr="00405A2C">
        <w:t>Dátum:</w:t>
      </w:r>
      <w:r>
        <w:t xml:space="preserve"> Budapest, 2017………………..</w:t>
      </w:r>
    </w:p>
    <w:p w:rsidR="006F2A4A" w:rsidRDefault="006F2A4A" w:rsidP="006F2A4A"/>
    <w:p w:rsidR="006F2A4A" w:rsidRDefault="006F2A4A" w:rsidP="006F2A4A"/>
    <w:p w:rsidR="006F2A4A" w:rsidRDefault="006F2A4A" w:rsidP="006F2A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dr. Bognár Lajos</w:t>
      </w:r>
    </w:p>
    <w:p w:rsidR="004226A5" w:rsidRDefault="006F2A4A" w:rsidP="006F2A4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országos főállatorvos,  helyettes államtitkár</w:t>
      </w:r>
    </w:p>
    <w:sectPr w:rsidR="004226A5" w:rsidSect="003E3778">
      <w:headerReference w:type="default" r:id="rId17"/>
      <w:footerReference w:type="default" r:id="rId18"/>
      <w:pgSz w:w="11906" w:h="16838"/>
      <w:pgMar w:top="1134" w:right="1418" w:bottom="1702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3A" w:rsidRDefault="004A203A" w:rsidP="008222F6">
      <w:r>
        <w:separator/>
      </w:r>
    </w:p>
  </w:endnote>
  <w:endnote w:type="continuationSeparator" w:id="0">
    <w:p w:rsidR="004A203A" w:rsidRDefault="004A203A" w:rsidP="0082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Sans Serif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1766"/>
      <w:docPartObj>
        <w:docPartGallery w:val="Page Numbers (Bottom of Page)"/>
        <w:docPartUnique/>
      </w:docPartObj>
    </w:sdtPr>
    <w:sdtContent>
      <w:p w:rsidR="005B6D67" w:rsidRDefault="005B6D67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7E4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5B6D67" w:rsidRDefault="005B6D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3A" w:rsidRDefault="004A203A" w:rsidP="008222F6">
      <w:r>
        <w:separator/>
      </w:r>
    </w:p>
  </w:footnote>
  <w:footnote w:type="continuationSeparator" w:id="0">
    <w:p w:rsidR="004A203A" w:rsidRDefault="004A203A" w:rsidP="008222F6">
      <w:r>
        <w:continuationSeparator/>
      </w:r>
    </w:p>
  </w:footnote>
  <w:footnote w:id="1">
    <w:p w:rsidR="005B6D67" w:rsidRDefault="005B6D67">
      <w:pPr>
        <w:pStyle w:val="Lbjegyzetszveg"/>
      </w:pPr>
      <w:r>
        <w:rPr>
          <w:rStyle w:val="Lbjegyzet-hivatkozs"/>
        </w:rPr>
        <w:footnoteRef/>
      </w:r>
      <w:r>
        <w:t>2014. évi mérlegjelentésben a n</w:t>
      </w:r>
      <w:r w:rsidRPr="007524C9">
        <w:t>emzeti vagyonba tartozó befektetett eszköznek része volt</w:t>
      </w:r>
      <w:r>
        <w:t xml:space="preserve"> tulajdonosi joggyakorlóként</w:t>
      </w:r>
      <w:r w:rsidRPr="007524C9">
        <w:t xml:space="preserve"> a</w:t>
      </w:r>
      <w:r>
        <w:t>z ÉLBC Kft.</w:t>
      </w:r>
      <w:r w:rsidRPr="007524C9">
        <w:t xml:space="preserve"> részesedés is. </w:t>
      </w:r>
      <w:r>
        <w:t>A részesedést 2015. óta külön mérlegjelentés tartalmazza, ezért az összehasonlíthatóság érdekében a 2014. évi adat is e részesedés értéke nélküli.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D67" w:rsidRPr="00F207AE" w:rsidRDefault="005B6D67" w:rsidP="006C3D1C">
    <w:pPr>
      <w:pStyle w:val="lfej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4837430</wp:posOffset>
          </wp:positionH>
          <wp:positionV relativeFrom="paragraph">
            <wp:posOffset>-228600</wp:posOffset>
          </wp:positionV>
          <wp:extent cx="1008380" cy="556895"/>
          <wp:effectExtent l="0" t="0" r="1270" b="0"/>
          <wp:wrapNone/>
          <wp:docPr id="7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Nemzeti Élelmiszerlánc-biztonsági Hivatal</w:t>
    </w:r>
    <w:r>
      <w:tab/>
    </w:r>
    <w:r>
      <w:tab/>
    </w:r>
    <w:r>
      <w:tab/>
    </w:r>
    <w:r>
      <w:tab/>
    </w:r>
    <w:r>
      <w:tab/>
    </w:r>
    <w:r>
      <w:tab/>
    </w:r>
  </w:p>
  <w:p w:rsidR="005B6D67" w:rsidRDefault="005B6D67" w:rsidP="006C3D1C">
    <w:pPr>
      <w:pBdr>
        <w:bottom w:val="single" w:sz="4" w:space="1" w:color="auto"/>
      </w:pBdr>
    </w:pPr>
    <w:r w:rsidRPr="00F207AE">
      <w:t>Szöveges beszámoló 20</w:t>
    </w:r>
    <w:r>
      <w:t>16.</w:t>
    </w:r>
  </w:p>
  <w:p w:rsidR="005B6D67" w:rsidRPr="006C3D1C" w:rsidRDefault="005B6D67" w:rsidP="006C3D1C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812"/>
    <w:multiLevelType w:val="hybridMultilevel"/>
    <w:tmpl w:val="2ABE408E"/>
    <w:lvl w:ilvl="0" w:tplc="32B8124C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B4925F2"/>
    <w:multiLevelType w:val="hybridMultilevel"/>
    <w:tmpl w:val="E4FC30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FF5F57"/>
    <w:multiLevelType w:val="hybridMultilevel"/>
    <w:tmpl w:val="C744F18C"/>
    <w:lvl w:ilvl="0" w:tplc="EADC87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AAE"/>
    <w:multiLevelType w:val="hybridMultilevel"/>
    <w:tmpl w:val="E8583766"/>
    <w:lvl w:ilvl="0" w:tplc="FF147078">
      <w:start w:val="1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131A1"/>
    <w:multiLevelType w:val="hybridMultilevel"/>
    <w:tmpl w:val="648E1C60"/>
    <w:lvl w:ilvl="0" w:tplc="EADC87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81BFC"/>
    <w:multiLevelType w:val="hybridMultilevel"/>
    <w:tmpl w:val="B0147AA0"/>
    <w:lvl w:ilvl="0" w:tplc="040E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>
    <w:nsid w:val="132F2F37"/>
    <w:multiLevelType w:val="hybridMultilevel"/>
    <w:tmpl w:val="2ACC4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E1C22"/>
    <w:multiLevelType w:val="hybridMultilevel"/>
    <w:tmpl w:val="FADC70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866A8"/>
    <w:multiLevelType w:val="hybridMultilevel"/>
    <w:tmpl w:val="EECA6FD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1A41D3"/>
    <w:multiLevelType w:val="hybridMultilevel"/>
    <w:tmpl w:val="D6BEC84E"/>
    <w:lvl w:ilvl="0" w:tplc="040E0001">
      <w:start w:val="1"/>
      <w:numFmt w:val="bullet"/>
      <w:pStyle w:val="pont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86E7A"/>
    <w:multiLevelType w:val="hybridMultilevel"/>
    <w:tmpl w:val="8D046346"/>
    <w:lvl w:ilvl="0" w:tplc="EADC87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91D07"/>
    <w:multiLevelType w:val="multilevel"/>
    <w:tmpl w:val="2EBEA004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42E10056"/>
    <w:multiLevelType w:val="hybridMultilevel"/>
    <w:tmpl w:val="FF0E6A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1767B2"/>
    <w:multiLevelType w:val="hybridMultilevel"/>
    <w:tmpl w:val="E16EC4C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D945E2F"/>
    <w:multiLevelType w:val="hybridMultilevel"/>
    <w:tmpl w:val="D5F46E7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0907C8A"/>
    <w:multiLevelType w:val="hybridMultilevel"/>
    <w:tmpl w:val="FB0A3054"/>
    <w:lvl w:ilvl="0" w:tplc="E5EAEB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22B8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32F2D"/>
    <w:multiLevelType w:val="hybridMultilevel"/>
    <w:tmpl w:val="230019FA"/>
    <w:lvl w:ilvl="0" w:tplc="FF147078">
      <w:start w:val="1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196DF2"/>
    <w:multiLevelType w:val="hybridMultilevel"/>
    <w:tmpl w:val="602A873C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60D527C5"/>
    <w:multiLevelType w:val="hybridMultilevel"/>
    <w:tmpl w:val="C2BAD24E"/>
    <w:lvl w:ilvl="0" w:tplc="FF147078">
      <w:start w:val="1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F7457A"/>
    <w:multiLevelType w:val="hybridMultilevel"/>
    <w:tmpl w:val="1CE852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490B6F"/>
    <w:multiLevelType w:val="hybridMultilevel"/>
    <w:tmpl w:val="4EC656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9A0368"/>
    <w:multiLevelType w:val="hybridMultilevel"/>
    <w:tmpl w:val="BAD05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16"/>
  </w:num>
  <w:num w:numId="5">
    <w:abstractNumId w:val="4"/>
  </w:num>
  <w:num w:numId="6">
    <w:abstractNumId w:val="2"/>
  </w:num>
  <w:num w:numId="7">
    <w:abstractNumId w:val="11"/>
  </w:num>
  <w:num w:numId="8">
    <w:abstractNumId w:val="9"/>
  </w:num>
  <w:num w:numId="9">
    <w:abstractNumId w:val="6"/>
  </w:num>
  <w:num w:numId="10">
    <w:abstractNumId w:val="19"/>
  </w:num>
  <w:num w:numId="11">
    <w:abstractNumId w:val="15"/>
  </w:num>
  <w:num w:numId="12">
    <w:abstractNumId w:val="20"/>
  </w:num>
  <w:num w:numId="13">
    <w:abstractNumId w:val="8"/>
  </w:num>
  <w:num w:numId="14">
    <w:abstractNumId w:val="1"/>
  </w:num>
  <w:num w:numId="15">
    <w:abstractNumId w:val="21"/>
  </w:num>
  <w:num w:numId="16">
    <w:abstractNumId w:val="14"/>
  </w:num>
  <w:num w:numId="17">
    <w:abstractNumId w:val="17"/>
  </w:num>
  <w:num w:numId="18">
    <w:abstractNumId w:val="13"/>
  </w:num>
  <w:num w:numId="19">
    <w:abstractNumId w:val="5"/>
  </w:num>
  <w:num w:numId="20">
    <w:abstractNumId w:val="12"/>
  </w:num>
  <w:num w:numId="21">
    <w:abstractNumId w:val="7"/>
  </w:num>
  <w:num w:numId="22">
    <w:abstractNumId w:val="0"/>
  </w:num>
  <w:num w:numId="23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7F8"/>
    <w:rsid w:val="0000449A"/>
    <w:rsid w:val="00004BA4"/>
    <w:rsid w:val="00013BE2"/>
    <w:rsid w:val="000247A6"/>
    <w:rsid w:val="000334C5"/>
    <w:rsid w:val="00035C4E"/>
    <w:rsid w:val="00044C5F"/>
    <w:rsid w:val="00053F51"/>
    <w:rsid w:val="00060218"/>
    <w:rsid w:val="0006614C"/>
    <w:rsid w:val="00070B14"/>
    <w:rsid w:val="00071044"/>
    <w:rsid w:val="000752E1"/>
    <w:rsid w:val="0008674E"/>
    <w:rsid w:val="0009447D"/>
    <w:rsid w:val="000A087F"/>
    <w:rsid w:val="000A1446"/>
    <w:rsid w:val="000B6FBE"/>
    <w:rsid w:val="000D1E27"/>
    <w:rsid w:val="000D6CB7"/>
    <w:rsid w:val="000E39B3"/>
    <w:rsid w:val="00104880"/>
    <w:rsid w:val="00106998"/>
    <w:rsid w:val="00110591"/>
    <w:rsid w:val="00112B46"/>
    <w:rsid w:val="00112DAC"/>
    <w:rsid w:val="001172EF"/>
    <w:rsid w:val="00117321"/>
    <w:rsid w:val="00117F65"/>
    <w:rsid w:val="00122BEA"/>
    <w:rsid w:val="00122CDA"/>
    <w:rsid w:val="00124093"/>
    <w:rsid w:val="00126E5D"/>
    <w:rsid w:val="00133A66"/>
    <w:rsid w:val="00134503"/>
    <w:rsid w:val="001409B0"/>
    <w:rsid w:val="0014489C"/>
    <w:rsid w:val="00153C60"/>
    <w:rsid w:val="00162065"/>
    <w:rsid w:val="00163B78"/>
    <w:rsid w:val="001722E5"/>
    <w:rsid w:val="001732CD"/>
    <w:rsid w:val="00177BCC"/>
    <w:rsid w:val="001807A4"/>
    <w:rsid w:val="001822F8"/>
    <w:rsid w:val="0019408A"/>
    <w:rsid w:val="0019522A"/>
    <w:rsid w:val="00195D52"/>
    <w:rsid w:val="00196281"/>
    <w:rsid w:val="001A0838"/>
    <w:rsid w:val="001A4D34"/>
    <w:rsid w:val="001A6580"/>
    <w:rsid w:val="001A7820"/>
    <w:rsid w:val="001B2B82"/>
    <w:rsid w:val="001B30E3"/>
    <w:rsid w:val="001B41D7"/>
    <w:rsid w:val="001C0687"/>
    <w:rsid w:val="001C2A12"/>
    <w:rsid w:val="001C3CD3"/>
    <w:rsid w:val="001C3CEF"/>
    <w:rsid w:val="001D07E4"/>
    <w:rsid w:val="001D25C1"/>
    <w:rsid w:val="001D6FED"/>
    <w:rsid w:val="001E19FA"/>
    <w:rsid w:val="001E6EFC"/>
    <w:rsid w:val="001F193B"/>
    <w:rsid w:val="002037AF"/>
    <w:rsid w:val="00203D2B"/>
    <w:rsid w:val="00207527"/>
    <w:rsid w:val="00217A75"/>
    <w:rsid w:val="0022089D"/>
    <w:rsid w:val="002261A1"/>
    <w:rsid w:val="0022796A"/>
    <w:rsid w:val="0023260D"/>
    <w:rsid w:val="00237A05"/>
    <w:rsid w:val="002459E3"/>
    <w:rsid w:val="002469E5"/>
    <w:rsid w:val="00247795"/>
    <w:rsid w:val="00250030"/>
    <w:rsid w:val="00253935"/>
    <w:rsid w:val="002548B4"/>
    <w:rsid w:val="00262FF8"/>
    <w:rsid w:val="0026553D"/>
    <w:rsid w:val="00267873"/>
    <w:rsid w:val="0027097B"/>
    <w:rsid w:val="0027098C"/>
    <w:rsid w:val="00272597"/>
    <w:rsid w:val="0029009D"/>
    <w:rsid w:val="002913CD"/>
    <w:rsid w:val="00293033"/>
    <w:rsid w:val="00293DA3"/>
    <w:rsid w:val="002944AD"/>
    <w:rsid w:val="00295DC4"/>
    <w:rsid w:val="002A001E"/>
    <w:rsid w:val="002A231D"/>
    <w:rsid w:val="002A482D"/>
    <w:rsid w:val="002A6207"/>
    <w:rsid w:val="002C08BC"/>
    <w:rsid w:val="002C3F73"/>
    <w:rsid w:val="002D04DD"/>
    <w:rsid w:val="002D29D7"/>
    <w:rsid w:val="002E47F8"/>
    <w:rsid w:val="002E616E"/>
    <w:rsid w:val="002E7D3B"/>
    <w:rsid w:val="002F3795"/>
    <w:rsid w:val="002F3B43"/>
    <w:rsid w:val="00305D70"/>
    <w:rsid w:val="00305FC8"/>
    <w:rsid w:val="00316A85"/>
    <w:rsid w:val="003211CF"/>
    <w:rsid w:val="00322113"/>
    <w:rsid w:val="0033115F"/>
    <w:rsid w:val="00334D27"/>
    <w:rsid w:val="00340AA1"/>
    <w:rsid w:val="0035484F"/>
    <w:rsid w:val="0035590E"/>
    <w:rsid w:val="00362913"/>
    <w:rsid w:val="00364582"/>
    <w:rsid w:val="00364D2A"/>
    <w:rsid w:val="00366761"/>
    <w:rsid w:val="00372047"/>
    <w:rsid w:val="00373873"/>
    <w:rsid w:val="00373B80"/>
    <w:rsid w:val="00381596"/>
    <w:rsid w:val="003832F0"/>
    <w:rsid w:val="00392FEE"/>
    <w:rsid w:val="00394D6F"/>
    <w:rsid w:val="003958F0"/>
    <w:rsid w:val="003A0757"/>
    <w:rsid w:val="003A13AA"/>
    <w:rsid w:val="003A55A4"/>
    <w:rsid w:val="003A567E"/>
    <w:rsid w:val="003B0942"/>
    <w:rsid w:val="003C7B84"/>
    <w:rsid w:val="003D2762"/>
    <w:rsid w:val="003E21E0"/>
    <w:rsid w:val="003E3778"/>
    <w:rsid w:val="003F18CC"/>
    <w:rsid w:val="003F195C"/>
    <w:rsid w:val="003F44BB"/>
    <w:rsid w:val="003F5A37"/>
    <w:rsid w:val="003F670A"/>
    <w:rsid w:val="003F785A"/>
    <w:rsid w:val="004067BC"/>
    <w:rsid w:val="004109DC"/>
    <w:rsid w:val="00412F4E"/>
    <w:rsid w:val="00413CDC"/>
    <w:rsid w:val="00421100"/>
    <w:rsid w:val="00421BE4"/>
    <w:rsid w:val="004226A5"/>
    <w:rsid w:val="004256FE"/>
    <w:rsid w:val="0043091A"/>
    <w:rsid w:val="00445865"/>
    <w:rsid w:val="004501F8"/>
    <w:rsid w:val="00453A30"/>
    <w:rsid w:val="00455673"/>
    <w:rsid w:val="00474F12"/>
    <w:rsid w:val="00475998"/>
    <w:rsid w:val="004829EA"/>
    <w:rsid w:val="00484AEA"/>
    <w:rsid w:val="0049159D"/>
    <w:rsid w:val="004961AA"/>
    <w:rsid w:val="00496B9F"/>
    <w:rsid w:val="004A203A"/>
    <w:rsid w:val="004A4460"/>
    <w:rsid w:val="004A4FA2"/>
    <w:rsid w:val="004A77BC"/>
    <w:rsid w:val="004B19AF"/>
    <w:rsid w:val="004C165D"/>
    <w:rsid w:val="004C7094"/>
    <w:rsid w:val="004E37CD"/>
    <w:rsid w:val="004E3A70"/>
    <w:rsid w:val="004E43AC"/>
    <w:rsid w:val="004F187A"/>
    <w:rsid w:val="004F1F1A"/>
    <w:rsid w:val="004F232F"/>
    <w:rsid w:val="004F4EEB"/>
    <w:rsid w:val="004F65FF"/>
    <w:rsid w:val="00500B6B"/>
    <w:rsid w:val="005031D5"/>
    <w:rsid w:val="00530167"/>
    <w:rsid w:val="00531785"/>
    <w:rsid w:val="0053385B"/>
    <w:rsid w:val="005370DF"/>
    <w:rsid w:val="00540209"/>
    <w:rsid w:val="00542EB8"/>
    <w:rsid w:val="00547AC6"/>
    <w:rsid w:val="005502A4"/>
    <w:rsid w:val="00551C49"/>
    <w:rsid w:val="00563295"/>
    <w:rsid w:val="0056586D"/>
    <w:rsid w:val="00566333"/>
    <w:rsid w:val="005675DC"/>
    <w:rsid w:val="00570E16"/>
    <w:rsid w:val="00574D9F"/>
    <w:rsid w:val="0057721E"/>
    <w:rsid w:val="005776E8"/>
    <w:rsid w:val="00586880"/>
    <w:rsid w:val="00587742"/>
    <w:rsid w:val="005A0C36"/>
    <w:rsid w:val="005A2E26"/>
    <w:rsid w:val="005A76A8"/>
    <w:rsid w:val="005A7A99"/>
    <w:rsid w:val="005B6D67"/>
    <w:rsid w:val="005B7675"/>
    <w:rsid w:val="005D0996"/>
    <w:rsid w:val="005D623A"/>
    <w:rsid w:val="005D7B3F"/>
    <w:rsid w:val="005E0147"/>
    <w:rsid w:val="005E7D03"/>
    <w:rsid w:val="005F2C9D"/>
    <w:rsid w:val="005F2D12"/>
    <w:rsid w:val="005F7967"/>
    <w:rsid w:val="006049EB"/>
    <w:rsid w:val="00604B84"/>
    <w:rsid w:val="0061015A"/>
    <w:rsid w:val="00610814"/>
    <w:rsid w:val="0061623D"/>
    <w:rsid w:val="00617E8E"/>
    <w:rsid w:val="00624666"/>
    <w:rsid w:val="00624FEB"/>
    <w:rsid w:val="0063234B"/>
    <w:rsid w:val="006331DA"/>
    <w:rsid w:val="006338FE"/>
    <w:rsid w:val="0063488A"/>
    <w:rsid w:val="00635663"/>
    <w:rsid w:val="00643066"/>
    <w:rsid w:val="00664073"/>
    <w:rsid w:val="00666104"/>
    <w:rsid w:val="006778BE"/>
    <w:rsid w:val="0068411B"/>
    <w:rsid w:val="006868C9"/>
    <w:rsid w:val="0069129A"/>
    <w:rsid w:val="0069146D"/>
    <w:rsid w:val="0069207F"/>
    <w:rsid w:val="006A1AC9"/>
    <w:rsid w:val="006A462C"/>
    <w:rsid w:val="006A761D"/>
    <w:rsid w:val="006B0997"/>
    <w:rsid w:val="006C3D1C"/>
    <w:rsid w:val="006C5B34"/>
    <w:rsid w:val="006F0A8B"/>
    <w:rsid w:val="006F2A4A"/>
    <w:rsid w:val="006F3377"/>
    <w:rsid w:val="007005FF"/>
    <w:rsid w:val="00700684"/>
    <w:rsid w:val="007016BD"/>
    <w:rsid w:val="007079C3"/>
    <w:rsid w:val="00711729"/>
    <w:rsid w:val="0073263D"/>
    <w:rsid w:val="007464E1"/>
    <w:rsid w:val="00747DCD"/>
    <w:rsid w:val="007524C9"/>
    <w:rsid w:val="00752CB6"/>
    <w:rsid w:val="00753B03"/>
    <w:rsid w:val="0076287E"/>
    <w:rsid w:val="00766ABD"/>
    <w:rsid w:val="00766B20"/>
    <w:rsid w:val="00774AFE"/>
    <w:rsid w:val="00776645"/>
    <w:rsid w:val="00782044"/>
    <w:rsid w:val="00784560"/>
    <w:rsid w:val="00784C24"/>
    <w:rsid w:val="00784FD5"/>
    <w:rsid w:val="0078519F"/>
    <w:rsid w:val="00791A24"/>
    <w:rsid w:val="00792278"/>
    <w:rsid w:val="00794FB3"/>
    <w:rsid w:val="00797646"/>
    <w:rsid w:val="0079775F"/>
    <w:rsid w:val="007977DD"/>
    <w:rsid w:val="007A4BF9"/>
    <w:rsid w:val="007A77D1"/>
    <w:rsid w:val="007B0029"/>
    <w:rsid w:val="007B53C1"/>
    <w:rsid w:val="007C065B"/>
    <w:rsid w:val="007C51AC"/>
    <w:rsid w:val="007D3865"/>
    <w:rsid w:val="007F0531"/>
    <w:rsid w:val="007F19D3"/>
    <w:rsid w:val="007F2D8D"/>
    <w:rsid w:val="007F3FED"/>
    <w:rsid w:val="007F5F6F"/>
    <w:rsid w:val="00812B05"/>
    <w:rsid w:val="008158CE"/>
    <w:rsid w:val="008222F6"/>
    <w:rsid w:val="00823052"/>
    <w:rsid w:val="00834B74"/>
    <w:rsid w:val="00840126"/>
    <w:rsid w:val="00841257"/>
    <w:rsid w:val="008417D2"/>
    <w:rsid w:val="00844B15"/>
    <w:rsid w:val="00846D89"/>
    <w:rsid w:val="00855804"/>
    <w:rsid w:val="00861E74"/>
    <w:rsid w:val="00864AD3"/>
    <w:rsid w:val="00867077"/>
    <w:rsid w:val="00870AAE"/>
    <w:rsid w:val="00871DB3"/>
    <w:rsid w:val="008737D7"/>
    <w:rsid w:val="0088157A"/>
    <w:rsid w:val="00882E07"/>
    <w:rsid w:val="00883606"/>
    <w:rsid w:val="0088528A"/>
    <w:rsid w:val="008863D9"/>
    <w:rsid w:val="00886D52"/>
    <w:rsid w:val="0088737E"/>
    <w:rsid w:val="00893B25"/>
    <w:rsid w:val="008A1156"/>
    <w:rsid w:val="008A445C"/>
    <w:rsid w:val="008B3DB3"/>
    <w:rsid w:val="008C3EC2"/>
    <w:rsid w:val="008C5484"/>
    <w:rsid w:val="008C756A"/>
    <w:rsid w:val="008D171C"/>
    <w:rsid w:val="008D3DE4"/>
    <w:rsid w:val="008D47FE"/>
    <w:rsid w:val="008D56A8"/>
    <w:rsid w:val="008D7081"/>
    <w:rsid w:val="008E2F34"/>
    <w:rsid w:val="008E396A"/>
    <w:rsid w:val="008F0176"/>
    <w:rsid w:val="008F232C"/>
    <w:rsid w:val="00901280"/>
    <w:rsid w:val="0090676C"/>
    <w:rsid w:val="009118B6"/>
    <w:rsid w:val="009126FC"/>
    <w:rsid w:val="00915EC6"/>
    <w:rsid w:val="00916725"/>
    <w:rsid w:val="00922646"/>
    <w:rsid w:val="009269D4"/>
    <w:rsid w:val="009316F7"/>
    <w:rsid w:val="009357D1"/>
    <w:rsid w:val="0094358D"/>
    <w:rsid w:val="00943C0D"/>
    <w:rsid w:val="0094476D"/>
    <w:rsid w:val="00944C69"/>
    <w:rsid w:val="00945204"/>
    <w:rsid w:val="00950EBC"/>
    <w:rsid w:val="00954AD7"/>
    <w:rsid w:val="0095776F"/>
    <w:rsid w:val="00961707"/>
    <w:rsid w:val="009677EC"/>
    <w:rsid w:val="00971BE2"/>
    <w:rsid w:val="00977F67"/>
    <w:rsid w:val="009838ED"/>
    <w:rsid w:val="00985BE2"/>
    <w:rsid w:val="00987F14"/>
    <w:rsid w:val="009921EE"/>
    <w:rsid w:val="009A31A3"/>
    <w:rsid w:val="009B125E"/>
    <w:rsid w:val="009B6F1D"/>
    <w:rsid w:val="009C06F0"/>
    <w:rsid w:val="009C137F"/>
    <w:rsid w:val="009C2021"/>
    <w:rsid w:val="009C4D47"/>
    <w:rsid w:val="009C6953"/>
    <w:rsid w:val="009D3D58"/>
    <w:rsid w:val="009D6AC0"/>
    <w:rsid w:val="009E0050"/>
    <w:rsid w:val="009E46AF"/>
    <w:rsid w:val="009E6E3C"/>
    <w:rsid w:val="009E73B6"/>
    <w:rsid w:val="009E7429"/>
    <w:rsid w:val="009E7B96"/>
    <w:rsid w:val="009E7D3B"/>
    <w:rsid w:val="009F565E"/>
    <w:rsid w:val="00A005CD"/>
    <w:rsid w:val="00A05485"/>
    <w:rsid w:val="00A0656F"/>
    <w:rsid w:val="00A079E8"/>
    <w:rsid w:val="00A10FF9"/>
    <w:rsid w:val="00A22B56"/>
    <w:rsid w:val="00A27665"/>
    <w:rsid w:val="00A33054"/>
    <w:rsid w:val="00A33567"/>
    <w:rsid w:val="00A33B2B"/>
    <w:rsid w:val="00A35A47"/>
    <w:rsid w:val="00A373B6"/>
    <w:rsid w:val="00A431A3"/>
    <w:rsid w:val="00A56F61"/>
    <w:rsid w:val="00A60313"/>
    <w:rsid w:val="00A71B81"/>
    <w:rsid w:val="00A71C22"/>
    <w:rsid w:val="00A7742B"/>
    <w:rsid w:val="00A82361"/>
    <w:rsid w:val="00A82736"/>
    <w:rsid w:val="00A82D00"/>
    <w:rsid w:val="00A83A1B"/>
    <w:rsid w:val="00A86B61"/>
    <w:rsid w:val="00A90629"/>
    <w:rsid w:val="00A91120"/>
    <w:rsid w:val="00A93AAB"/>
    <w:rsid w:val="00A963F5"/>
    <w:rsid w:val="00AA0369"/>
    <w:rsid w:val="00AB75ED"/>
    <w:rsid w:val="00AB7E71"/>
    <w:rsid w:val="00AC0C6A"/>
    <w:rsid w:val="00AC0E6C"/>
    <w:rsid w:val="00AD047E"/>
    <w:rsid w:val="00AD77DD"/>
    <w:rsid w:val="00AE0103"/>
    <w:rsid w:val="00AE38BB"/>
    <w:rsid w:val="00AE590A"/>
    <w:rsid w:val="00AF2E14"/>
    <w:rsid w:val="00AF4C67"/>
    <w:rsid w:val="00AF5837"/>
    <w:rsid w:val="00B01EE3"/>
    <w:rsid w:val="00B0593C"/>
    <w:rsid w:val="00B110AB"/>
    <w:rsid w:val="00B26388"/>
    <w:rsid w:val="00B45CC7"/>
    <w:rsid w:val="00B47B65"/>
    <w:rsid w:val="00B511B8"/>
    <w:rsid w:val="00B52B40"/>
    <w:rsid w:val="00B552DE"/>
    <w:rsid w:val="00B61592"/>
    <w:rsid w:val="00B73506"/>
    <w:rsid w:val="00B736B6"/>
    <w:rsid w:val="00B85AFB"/>
    <w:rsid w:val="00B90A30"/>
    <w:rsid w:val="00B913E5"/>
    <w:rsid w:val="00B9152F"/>
    <w:rsid w:val="00BA339F"/>
    <w:rsid w:val="00BA357D"/>
    <w:rsid w:val="00BA5783"/>
    <w:rsid w:val="00BC3C43"/>
    <w:rsid w:val="00BC4421"/>
    <w:rsid w:val="00BD2B05"/>
    <w:rsid w:val="00BD5401"/>
    <w:rsid w:val="00BE207D"/>
    <w:rsid w:val="00BE6058"/>
    <w:rsid w:val="00BE6B6A"/>
    <w:rsid w:val="00C05EB4"/>
    <w:rsid w:val="00C07002"/>
    <w:rsid w:val="00C13CAC"/>
    <w:rsid w:val="00C20D57"/>
    <w:rsid w:val="00C228BE"/>
    <w:rsid w:val="00C2678C"/>
    <w:rsid w:val="00C3410F"/>
    <w:rsid w:val="00C40258"/>
    <w:rsid w:val="00C40A22"/>
    <w:rsid w:val="00C417C5"/>
    <w:rsid w:val="00C42A4A"/>
    <w:rsid w:val="00C44E01"/>
    <w:rsid w:val="00C4707F"/>
    <w:rsid w:val="00C525D9"/>
    <w:rsid w:val="00C530D0"/>
    <w:rsid w:val="00C552AD"/>
    <w:rsid w:val="00C6207C"/>
    <w:rsid w:val="00C65B7E"/>
    <w:rsid w:val="00C6766D"/>
    <w:rsid w:val="00C84195"/>
    <w:rsid w:val="00C915AF"/>
    <w:rsid w:val="00C95595"/>
    <w:rsid w:val="00C969E4"/>
    <w:rsid w:val="00CA48AB"/>
    <w:rsid w:val="00CA4D8E"/>
    <w:rsid w:val="00CB31B8"/>
    <w:rsid w:val="00CB50A4"/>
    <w:rsid w:val="00CB6693"/>
    <w:rsid w:val="00CC384C"/>
    <w:rsid w:val="00CC72D4"/>
    <w:rsid w:val="00CD15C3"/>
    <w:rsid w:val="00CD3843"/>
    <w:rsid w:val="00CD501B"/>
    <w:rsid w:val="00CE23C5"/>
    <w:rsid w:val="00CE68F2"/>
    <w:rsid w:val="00CF20A0"/>
    <w:rsid w:val="00D0046D"/>
    <w:rsid w:val="00D107E3"/>
    <w:rsid w:val="00D132B2"/>
    <w:rsid w:val="00D2027B"/>
    <w:rsid w:val="00D20E9D"/>
    <w:rsid w:val="00D25FDD"/>
    <w:rsid w:val="00D269D8"/>
    <w:rsid w:val="00D31C84"/>
    <w:rsid w:val="00D3220D"/>
    <w:rsid w:val="00D32A17"/>
    <w:rsid w:val="00D32AEF"/>
    <w:rsid w:val="00D35044"/>
    <w:rsid w:val="00D35BDE"/>
    <w:rsid w:val="00D36508"/>
    <w:rsid w:val="00D37318"/>
    <w:rsid w:val="00D40D26"/>
    <w:rsid w:val="00D429F3"/>
    <w:rsid w:val="00D575D3"/>
    <w:rsid w:val="00D645AB"/>
    <w:rsid w:val="00D66652"/>
    <w:rsid w:val="00D6691D"/>
    <w:rsid w:val="00D6704E"/>
    <w:rsid w:val="00D70150"/>
    <w:rsid w:val="00D71CB1"/>
    <w:rsid w:val="00D738F0"/>
    <w:rsid w:val="00D75166"/>
    <w:rsid w:val="00D76E24"/>
    <w:rsid w:val="00D80E9E"/>
    <w:rsid w:val="00D87EAD"/>
    <w:rsid w:val="00D95A67"/>
    <w:rsid w:val="00D95C3E"/>
    <w:rsid w:val="00DA0F9B"/>
    <w:rsid w:val="00DA2888"/>
    <w:rsid w:val="00DA3342"/>
    <w:rsid w:val="00DC224A"/>
    <w:rsid w:val="00DC51F6"/>
    <w:rsid w:val="00DC6D30"/>
    <w:rsid w:val="00DD0C85"/>
    <w:rsid w:val="00DD1837"/>
    <w:rsid w:val="00DD1A6A"/>
    <w:rsid w:val="00DD37F4"/>
    <w:rsid w:val="00DD6425"/>
    <w:rsid w:val="00DD7704"/>
    <w:rsid w:val="00DE18A2"/>
    <w:rsid w:val="00DE2AFA"/>
    <w:rsid w:val="00DE2E97"/>
    <w:rsid w:val="00DE5F04"/>
    <w:rsid w:val="00DE611C"/>
    <w:rsid w:val="00DF0650"/>
    <w:rsid w:val="00DF1028"/>
    <w:rsid w:val="00DF295E"/>
    <w:rsid w:val="00DF7E6F"/>
    <w:rsid w:val="00E04947"/>
    <w:rsid w:val="00E068FB"/>
    <w:rsid w:val="00E1158D"/>
    <w:rsid w:val="00E12536"/>
    <w:rsid w:val="00E12E92"/>
    <w:rsid w:val="00E14A1C"/>
    <w:rsid w:val="00E252C7"/>
    <w:rsid w:val="00E2650F"/>
    <w:rsid w:val="00E27236"/>
    <w:rsid w:val="00E33514"/>
    <w:rsid w:val="00E3519A"/>
    <w:rsid w:val="00E35F65"/>
    <w:rsid w:val="00E42C14"/>
    <w:rsid w:val="00E469D0"/>
    <w:rsid w:val="00E52793"/>
    <w:rsid w:val="00E5494F"/>
    <w:rsid w:val="00E55699"/>
    <w:rsid w:val="00E71F09"/>
    <w:rsid w:val="00E73036"/>
    <w:rsid w:val="00E735C8"/>
    <w:rsid w:val="00E7709E"/>
    <w:rsid w:val="00E815B3"/>
    <w:rsid w:val="00E843D1"/>
    <w:rsid w:val="00E8763A"/>
    <w:rsid w:val="00E940C3"/>
    <w:rsid w:val="00E9475A"/>
    <w:rsid w:val="00E94FC7"/>
    <w:rsid w:val="00E95FB5"/>
    <w:rsid w:val="00EA3EEB"/>
    <w:rsid w:val="00EA6586"/>
    <w:rsid w:val="00EB1C99"/>
    <w:rsid w:val="00EC07F8"/>
    <w:rsid w:val="00ED00EE"/>
    <w:rsid w:val="00ED0F35"/>
    <w:rsid w:val="00ED40E2"/>
    <w:rsid w:val="00ED41FA"/>
    <w:rsid w:val="00ED7BE3"/>
    <w:rsid w:val="00EE47FF"/>
    <w:rsid w:val="00EE5508"/>
    <w:rsid w:val="00EE5A64"/>
    <w:rsid w:val="00EF1647"/>
    <w:rsid w:val="00EF1803"/>
    <w:rsid w:val="00EF1CD4"/>
    <w:rsid w:val="00F00B21"/>
    <w:rsid w:val="00F00FE4"/>
    <w:rsid w:val="00F016C4"/>
    <w:rsid w:val="00F02598"/>
    <w:rsid w:val="00F04909"/>
    <w:rsid w:val="00F11B49"/>
    <w:rsid w:val="00F121E1"/>
    <w:rsid w:val="00F1478A"/>
    <w:rsid w:val="00F16A66"/>
    <w:rsid w:val="00F228DF"/>
    <w:rsid w:val="00F35398"/>
    <w:rsid w:val="00F431D9"/>
    <w:rsid w:val="00F47436"/>
    <w:rsid w:val="00F5012B"/>
    <w:rsid w:val="00F50243"/>
    <w:rsid w:val="00F56D43"/>
    <w:rsid w:val="00F630E9"/>
    <w:rsid w:val="00F64121"/>
    <w:rsid w:val="00F64A2C"/>
    <w:rsid w:val="00F64D2A"/>
    <w:rsid w:val="00F706F8"/>
    <w:rsid w:val="00F74FEB"/>
    <w:rsid w:val="00F75181"/>
    <w:rsid w:val="00F752D3"/>
    <w:rsid w:val="00F82E99"/>
    <w:rsid w:val="00FA0256"/>
    <w:rsid w:val="00FA1914"/>
    <w:rsid w:val="00FA321F"/>
    <w:rsid w:val="00FA35D1"/>
    <w:rsid w:val="00FB51EC"/>
    <w:rsid w:val="00FC0019"/>
    <w:rsid w:val="00FC52C1"/>
    <w:rsid w:val="00FC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07F8"/>
    <w:pPr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autoRedefine/>
    <w:qFormat/>
    <w:rsid w:val="004C165D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635663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791A24"/>
    <w:pPr>
      <w:keepNext/>
      <w:keepLines/>
      <w:numPr>
        <w:ilvl w:val="2"/>
        <w:numId w:val="7"/>
      </w:numPr>
      <w:spacing w:before="200"/>
      <w:ind w:left="720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nhideWhenUsed/>
    <w:qFormat/>
    <w:rsid w:val="00C44E01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44E01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44E01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44E01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44E01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44E01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07F8"/>
    <w:pPr>
      <w:suppressAutoHyphens/>
      <w:ind w:left="720" w:firstLine="360"/>
      <w:contextualSpacing/>
    </w:pPr>
    <w:rPr>
      <w:sz w:val="26"/>
      <w:lang w:eastAsia="ar-SA"/>
    </w:rPr>
  </w:style>
  <w:style w:type="table" w:styleId="Rcsostblzat">
    <w:name w:val="Table Grid"/>
    <w:basedOn w:val="Normltblzat"/>
    <w:uiPriority w:val="59"/>
    <w:rsid w:val="00EC07F8"/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unhideWhenUsed/>
    <w:rsid w:val="00DA33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DA3342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222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22F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222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22F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4C165D"/>
    <w:rPr>
      <w:rFonts w:ascii="Times New Roman" w:eastAsiaTheme="majorEastAsia" w:hAnsi="Times New Roman" w:cstheme="majorBidi"/>
      <w:b/>
      <w:bCs/>
      <w:i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35663"/>
    <w:rPr>
      <w:rFonts w:ascii="Times New Roman" w:eastAsiaTheme="majorEastAsia" w:hAnsi="Times New Roman" w:cstheme="majorBidi"/>
      <w:b/>
      <w:bCs/>
      <w:sz w:val="24"/>
      <w:szCs w:val="26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791A24"/>
    <w:rPr>
      <w:rFonts w:ascii="Times New Roman" w:eastAsiaTheme="majorEastAsia" w:hAnsi="Times New Roman" w:cstheme="majorBidi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C44E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44E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44E0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44E0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44E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44E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styleId="NormlWeb">
    <w:name w:val="Normal (Web)"/>
    <w:basedOn w:val="Norml"/>
    <w:uiPriority w:val="99"/>
    <w:rsid w:val="00305FC8"/>
    <w:pPr>
      <w:spacing w:before="100" w:beforeAutospacing="1" w:after="100" w:afterAutospacing="1"/>
    </w:pPr>
    <w:rPr>
      <w:color w:val="000000"/>
    </w:rPr>
  </w:style>
  <w:style w:type="paragraph" w:styleId="Szvegtrzs">
    <w:name w:val="Body Text"/>
    <w:basedOn w:val="Norml"/>
    <w:link w:val="SzvegtrzsChar"/>
    <w:rsid w:val="00305FC8"/>
    <w:pPr>
      <w:suppressAutoHyphens/>
    </w:pPr>
    <w:rPr>
      <w:b/>
      <w:bCs/>
      <w:sz w:val="26"/>
      <w:lang w:eastAsia="ar-SA"/>
    </w:rPr>
  </w:style>
  <w:style w:type="character" w:customStyle="1" w:styleId="SzvegtrzsChar">
    <w:name w:val="Szövegtörzs Char"/>
    <w:basedOn w:val="Bekezdsalapbettpusa"/>
    <w:link w:val="Szvegtrzs"/>
    <w:rsid w:val="00305FC8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styleId="Szvegtrzsbehzssal">
    <w:name w:val="Body Text Indent"/>
    <w:basedOn w:val="Norml"/>
    <w:link w:val="SzvegtrzsbehzssalChar"/>
    <w:rsid w:val="00305FC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305FC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305FC8"/>
    <w:pPr>
      <w:spacing w:after="120" w:line="480" w:lineRule="auto"/>
    </w:pPr>
    <w:rPr>
      <w:rFonts w:ascii="CG Omega" w:hAnsi="CG Omega"/>
    </w:rPr>
  </w:style>
  <w:style w:type="character" w:customStyle="1" w:styleId="Szvegtrzs2Char">
    <w:name w:val="Szövegtörzs 2 Char"/>
    <w:basedOn w:val="Bekezdsalapbettpusa"/>
    <w:link w:val="Szvegtrzs2"/>
    <w:uiPriority w:val="99"/>
    <w:rsid w:val="00305FC8"/>
    <w:rPr>
      <w:rFonts w:ascii="CG Omega" w:eastAsia="Times New Roman" w:hAnsi="CG Omega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05FC8"/>
  </w:style>
  <w:style w:type="character" w:styleId="Hiperhivatkozs">
    <w:name w:val="Hyperlink"/>
    <w:basedOn w:val="Bekezdsalapbettpusa"/>
    <w:uiPriority w:val="99"/>
    <w:rsid w:val="00305FC8"/>
    <w:rPr>
      <w:color w:val="0000FF"/>
      <w:u w:val="single"/>
    </w:rPr>
  </w:style>
  <w:style w:type="character" w:styleId="Mrltotthiperhivatkozs">
    <w:name w:val="FollowedHyperlink"/>
    <w:basedOn w:val="Bekezdsalapbettpusa"/>
    <w:rsid w:val="00305FC8"/>
    <w:rPr>
      <w:color w:val="800080"/>
      <w:u w:val="single"/>
    </w:rPr>
  </w:style>
  <w:style w:type="paragraph" w:styleId="Szvegtrzs3">
    <w:name w:val="Body Text 3"/>
    <w:basedOn w:val="Norml"/>
    <w:link w:val="Szvegtrzs3Char"/>
    <w:rsid w:val="00305FC8"/>
    <w:pPr>
      <w:spacing w:after="120"/>
    </w:pPr>
    <w:rPr>
      <w:sz w:val="16"/>
      <w:szCs w:val="16"/>
      <w:lang w:val="de-DE"/>
    </w:rPr>
  </w:style>
  <w:style w:type="character" w:customStyle="1" w:styleId="Szvegtrzs3Char">
    <w:name w:val="Szövegtörzs 3 Char"/>
    <w:basedOn w:val="Bekezdsalapbettpusa"/>
    <w:link w:val="Szvegtrzs3"/>
    <w:rsid w:val="00305FC8"/>
    <w:rPr>
      <w:rFonts w:ascii="Times New Roman" w:eastAsia="Times New Roman" w:hAnsi="Times New Roman" w:cs="Times New Roman"/>
      <w:sz w:val="16"/>
      <w:szCs w:val="16"/>
      <w:lang w:val="de-DE" w:eastAsia="hu-HU"/>
    </w:rPr>
  </w:style>
  <w:style w:type="paragraph" w:styleId="Lbjegyzetszveg">
    <w:name w:val="footnote text"/>
    <w:basedOn w:val="Norml"/>
    <w:link w:val="LbjegyzetszvegChar"/>
    <w:rsid w:val="00305F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05FC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305FC8"/>
    <w:rPr>
      <w:vertAlign w:val="superscript"/>
    </w:rPr>
  </w:style>
  <w:style w:type="paragraph" w:customStyle="1" w:styleId="pontok">
    <w:name w:val="pontok"/>
    <w:basedOn w:val="Norml"/>
    <w:rsid w:val="00305FC8"/>
    <w:pPr>
      <w:numPr>
        <w:numId w:val="8"/>
      </w:numPr>
    </w:pPr>
  </w:style>
  <w:style w:type="paragraph" w:styleId="Csakszveg">
    <w:name w:val="Plain Text"/>
    <w:basedOn w:val="Norml"/>
    <w:link w:val="CsakszvegChar"/>
    <w:uiPriority w:val="99"/>
    <w:unhideWhenUsed/>
    <w:rsid w:val="00305FC8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305FC8"/>
    <w:rPr>
      <w:rFonts w:ascii="Consolas" w:eastAsia="Calibri" w:hAnsi="Consolas" w:cs="Times New Roman"/>
      <w:sz w:val="21"/>
      <w:szCs w:val="21"/>
    </w:rPr>
  </w:style>
  <w:style w:type="paragraph" w:styleId="Nincstrkz">
    <w:name w:val="No Spacing"/>
    <w:link w:val="NincstrkzChar"/>
    <w:uiPriority w:val="1"/>
    <w:qFormat/>
    <w:rsid w:val="00305FC8"/>
    <w:rPr>
      <w:rFonts w:ascii="Calibri" w:eastAsia="Calibri" w:hAnsi="Calibri" w:cs="Times New Roman"/>
      <w:lang w:val="en-US" w:bidi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305FC8"/>
    <w:rPr>
      <w:rFonts w:ascii="Calibri" w:eastAsia="Calibri" w:hAnsi="Calibri" w:cs="Times New Roman"/>
      <w:lang w:val="en-US" w:bidi="en-US"/>
    </w:rPr>
  </w:style>
  <w:style w:type="paragraph" w:customStyle="1" w:styleId="Norml0">
    <w:name w:val="Norml"/>
    <w:rsid w:val="00305FC8"/>
    <w:pPr>
      <w:autoSpaceDE w:val="0"/>
      <w:autoSpaceDN w:val="0"/>
      <w:adjustRightInd w:val="0"/>
      <w:jc w:val="both"/>
    </w:pPr>
    <w:rPr>
      <w:rFonts w:ascii="MS Sans Serif" w:eastAsia="Times New Roman" w:hAnsi="MS Sans Serif" w:cs="Times New Roman"/>
      <w:sz w:val="24"/>
      <w:szCs w:val="24"/>
      <w:lang w:eastAsia="hu-HU"/>
    </w:rPr>
  </w:style>
  <w:style w:type="paragraph" w:customStyle="1" w:styleId="Nincstrkz1">
    <w:name w:val="Nincs térköz1"/>
    <w:basedOn w:val="Norml"/>
    <w:qFormat/>
    <w:rsid w:val="00305FC8"/>
    <w:pPr>
      <w:spacing w:before="100" w:beforeAutospacing="1" w:after="100" w:afterAutospacing="1"/>
      <w:ind w:firstLine="708"/>
    </w:pPr>
    <w:rPr>
      <w:rFonts w:eastAsia="Calibri"/>
      <w:iCs/>
      <w:szCs w:val="32"/>
      <w:lang w:eastAsia="en-US"/>
    </w:rPr>
  </w:style>
  <w:style w:type="paragraph" w:customStyle="1" w:styleId="ReszlegChar">
    <w:name w:val="Reszleg Char"/>
    <w:basedOn w:val="Norml"/>
    <w:rsid w:val="00305FC8"/>
    <w:pPr>
      <w:suppressAutoHyphens/>
      <w:spacing w:after="120"/>
      <w:ind w:left="426"/>
    </w:pPr>
    <w:rPr>
      <w:szCs w:val="20"/>
      <w:lang w:eastAsia="ar-SA"/>
    </w:rPr>
  </w:style>
  <w:style w:type="character" w:customStyle="1" w:styleId="ft">
    <w:name w:val="ft"/>
    <w:basedOn w:val="Bekezdsalapbettpusa"/>
    <w:rsid w:val="00305FC8"/>
    <w:rPr>
      <w:b w:val="0"/>
      <w:bCs w:val="0"/>
      <w:sz w:val="27"/>
      <w:szCs w:val="27"/>
    </w:rPr>
  </w:style>
  <w:style w:type="character" w:styleId="Kiemels2">
    <w:name w:val="Strong"/>
    <w:basedOn w:val="Bekezdsalapbettpusa"/>
    <w:qFormat/>
    <w:rsid w:val="00305FC8"/>
    <w:rPr>
      <w:b/>
      <w:bCs/>
    </w:rPr>
  </w:style>
  <w:style w:type="paragraph" w:styleId="Szvegtrzsbehzssal3">
    <w:name w:val="Body Text Indent 3"/>
    <w:basedOn w:val="Norml"/>
    <w:link w:val="Szvegtrzsbehzssal3Char"/>
    <w:rsid w:val="00305FC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305FC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305FC8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305FC8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305FC8"/>
  </w:style>
  <w:style w:type="paragraph" w:customStyle="1" w:styleId="Standard">
    <w:name w:val="Standard"/>
    <w:rsid w:val="00305FC8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hu-HU"/>
    </w:rPr>
  </w:style>
  <w:style w:type="paragraph" w:customStyle="1" w:styleId="Textbody">
    <w:name w:val="Text body"/>
    <w:basedOn w:val="Standard"/>
    <w:rsid w:val="00305FC8"/>
    <w:pPr>
      <w:spacing w:after="120"/>
    </w:pPr>
  </w:style>
  <w:style w:type="paragraph" w:customStyle="1" w:styleId="xmsonormal">
    <w:name w:val="x_msonormal"/>
    <w:basedOn w:val="Norml"/>
    <w:rsid w:val="00305FC8"/>
    <w:pPr>
      <w:spacing w:before="100" w:beforeAutospacing="1" w:after="100" w:afterAutospacing="1"/>
      <w:jc w:val="left"/>
    </w:pPr>
  </w:style>
  <w:style w:type="paragraph" w:customStyle="1" w:styleId="FreeForm">
    <w:name w:val="Free Form"/>
    <w:rsid w:val="00305FC8"/>
    <w:rPr>
      <w:rFonts w:ascii="Helvetica" w:eastAsia="ヒラギノ角ゴ Pro W3" w:hAnsi="Helvetica" w:cs="Times New Roman"/>
      <w:color w:val="000000"/>
      <w:sz w:val="24"/>
      <w:szCs w:val="20"/>
      <w:lang w:eastAsia="hu-HU"/>
    </w:rPr>
  </w:style>
  <w:style w:type="paragraph" w:customStyle="1" w:styleId="Default">
    <w:name w:val="Default"/>
    <w:basedOn w:val="Norml"/>
    <w:rsid w:val="00AF2E14"/>
    <w:pPr>
      <w:autoSpaceDE w:val="0"/>
      <w:autoSpaceDN w:val="0"/>
      <w:jc w:val="left"/>
    </w:pPr>
    <w:rPr>
      <w:rFonts w:eastAsia="Calibri"/>
      <w:color w:val="000000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79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79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4779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07F8"/>
    <w:pPr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autoRedefine/>
    <w:qFormat/>
    <w:rsid w:val="004C165D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i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635663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791A24"/>
    <w:pPr>
      <w:keepNext/>
      <w:keepLines/>
      <w:numPr>
        <w:ilvl w:val="2"/>
        <w:numId w:val="7"/>
      </w:numPr>
      <w:spacing w:before="200"/>
      <w:ind w:left="720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nhideWhenUsed/>
    <w:qFormat/>
    <w:rsid w:val="00C44E01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44E01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44E01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44E01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44E01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44E01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07F8"/>
    <w:pPr>
      <w:suppressAutoHyphens/>
      <w:ind w:left="720" w:firstLine="360"/>
      <w:contextualSpacing/>
    </w:pPr>
    <w:rPr>
      <w:sz w:val="26"/>
      <w:lang w:eastAsia="ar-SA"/>
    </w:rPr>
  </w:style>
  <w:style w:type="table" w:styleId="Rcsostblzat">
    <w:name w:val="Table Grid"/>
    <w:basedOn w:val="Normltblzat"/>
    <w:uiPriority w:val="59"/>
    <w:rsid w:val="00EC07F8"/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semiHidden/>
    <w:unhideWhenUsed/>
    <w:rsid w:val="00DA33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DA3342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222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22F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222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22F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4C165D"/>
    <w:rPr>
      <w:rFonts w:ascii="Times New Roman" w:eastAsiaTheme="majorEastAsia" w:hAnsi="Times New Roman" w:cstheme="majorBidi"/>
      <w:b/>
      <w:bCs/>
      <w:i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35663"/>
    <w:rPr>
      <w:rFonts w:ascii="Times New Roman" w:eastAsiaTheme="majorEastAsia" w:hAnsi="Times New Roman" w:cstheme="majorBidi"/>
      <w:b/>
      <w:bCs/>
      <w:sz w:val="24"/>
      <w:szCs w:val="26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791A24"/>
    <w:rPr>
      <w:rFonts w:ascii="Times New Roman" w:eastAsiaTheme="majorEastAsia" w:hAnsi="Times New Roman" w:cstheme="majorBidi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C44E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44E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44E0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44E0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44E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44E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styleId="NormlWeb">
    <w:name w:val="Normal (Web)"/>
    <w:basedOn w:val="Norml"/>
    <w:uiPriority w:val="99"/>
    <w:rsid w:val="00305FC8"/>
    <w:pPr>
      <w:spacing w:before="100" w:beforeAutospacing="1" w:after="100" w:afterAutospacing="1"/>
    </w:pPr>
    <w:rPr>
      <w:color w:val="000000"/>
    </w:rPr>
  </w:style>
  <w:style w:type="paragraph" w:styleId="Szvegtrzs">
    <w:name w:val="Body Text"/>
    <w:basedOn w:val="Norml"/>
    <w:link w:val="SzvegtrzsChar"/>
    <w:rsid w:val="00305FC8"/>
    <w:pPr>
      <w:suppressAutoHyphens/>
    </w:pPr>
    <w:rPr>
      <w:b/>
      <w:bCs/>
      <w:sz w:val="26"/>
      <w:lang w:eastAsia="ar-SA"/>
    </w:rPr>
  </w:style>
  <w:style w:type="character" w:customStyle="1" w:styleId="SzvegtrzsChar">
    <w:name w:val="Szövegtörzs Char"/>
    <w:basedOn w:val="Bekezdsalapbettpusa"/>
    <w:link w:val="Szvegtrzs"/>
    <w:rsid w:val="00305FC8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styleId="Szvegtrzsbehzssal">
    <w:name w:val="Body Text Indent"/>
    <w:basedOn w:val="Norml"/>
    <w:link w:val="SzvegtrzsbehzssalChar"/>
    <w:rsid w:val="00305FC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305FC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305FC8"/>
    <w:pPr>
      <w:spacing w:after="120" w:line="480" w:lineRule="auto"/>
    </w:pPr>
    <w:rPr>
      <w:rFonts w:ascii="CG Omega" w:hAnsi="CG Omega"/>
    </w:rPr>
  </w:style>
  <w:style w:type="character" w:customStyle="1" w:styleId="Szvegtrzs2Char">
    <w:name w:val="Szövegtörzs 2 Char"/>
    <w:basedOn w:val="Bekezdsalapbettpusa"/>
    <w:link w:val="Szvegtrzs2"/>
    <w:uiPriority w:val="99"/>
    <w:rsid w:val="00305FC8"/>
    <w:rPr>
      <w:rFonts w:ascii="CG Omega" w:eastAsia="Times New Roman" w:hAnsi="CG Omega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05FC8"/>
  </w:style>
  <w:style w:type="character" w:styleId="Hiperhivatkozs">
    <w:name w:val="Hyperlink"/>
    <w:basedOn w:val="Bekezdsalapbettpusa"/>
    <w:uiPriority w:val="99"/>
    <w:rsid w:val="00305FC8"/>
    <w:rPr>
      <w:color w:val="0000FF"/>
      <w:u w:val="single"/>
    </w:rPr>
  </w:style>
  <w:style w:type="character" w:styleId="Mrltotthiperhivatkozs">
    <w:name w:val="FollowedHyperlink"/>
    <w:basedOn w:val="Bekezdsalapbettpusa"/>
    <w:rsid w:val="00305FC8"/>
    <w:rPr>
      <w:color w:val="800080"/>
      <w:u w:val="single"/>
    </w:rPr>
  </w:style>
  <w:style w:type="paragraph" w:styleId="Szvegtrzs3">
    <w:name w:val="Body Text 3"/>
    <w:basedOn w:val="Norml"/>
    <w:link w:val="Szvegtrzs3Char"/>
    <w:rsid w:val="00305FC8"/>
    <w:pPr>
      <w:spacing w:after="120"/>
    </w:pPr>
    <w:rPr>
      <w:sz w:val="16"/>
      <w:szCs w:val="16"/>
      <w:lang w:val="de-DE"/>
    </w:rPr>
  </w:style>
  <w:style w:type="character" w:customStyle="1" w:styleId="Szvegtrzs3Char">
    <w:name w:val="Szövegtörzs 3 Char"/>
    <w:basedOn w:val="Bekezdsalapbettpusa"/>
    <w:link w:val="Szvegtrzs3"/>
    <w:rsid w:val="00305FC8"/>
    <w:rPr>
      <w:rFonts w:ascii="Times New Roman" w:eastAsia="Times New Roman" w:hAnsi="Times New Roman" w:cs="Times New Roman"/>
      <w:sz w:val="16"/>
      <w:szCs w:val="16"/>
      <w:lang w:val="de-DE" w:eastAsia="hu-HU"/>
    </w:rPr>
  </w:style>
  <w:style w:type="paragraph" w:styleId="Lbjegyzetszveg">
    <w:name w:val="footnote text"/>
    <w:basedOn w:val="Norml"/>
    <w:link w:val="LbjegyzetszvegChar"/>
    <w:rsid w:val="00305F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05FC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305FC8"/>
    <w:rPr>
      <w:vertAlign w:val="superscript"/>
    </w:rPr>
  </w:style>
  <w:style w:type="paragraph" w:customStyle="1" w:styleId="pontok">
    <w:name w:val="pontok"/>
    <w:basedOn w:val="Norml"/>
    <w:rsid w:val="00305FC8"/>
    <w:pPr>
      <w:numPr>
        <w:numId w:val="8"/>
      </w:numPr>
    </w:pPr>
  </w:style>
  <w:style w:type="paragraph" w:styleId="Csakszveg">
    <w:name w:val="Plain Text"/>
    <w:basedOn w:val="Norml"/>
    <w:link w:val="CsakszvegChar"/>
    <w:uiPriority w:val="99"/>
    <w:unhideWhenUsed/>
    <w:rsid w:val="00305FC8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305FC8"/>
    <w:rPr>
      <w:rFonts w:ascii="Consolas" w:eastAsia="Calibri" w:hAnsi="Consolas" w:cs="Times New Roman"/>
      <w:sz w:val="21"/>
      <w:szCs w:val="21"/>
    </w:rPr>
  </w:style>
  <w:style w:type="paragraph" w:styleId="Nincstrkz">
    <w:name w:val="No Spacing"/>
    <w:link w:val="NincstrkzChar"/>
    <w:uiPriority w:val="1"/>
    <w:qFormat/>
    <w:rsid w:val="00305FC8"/>
    <w:rPr>
      <w:rFonts w:ascii="Calibri" w:eastAsia="Calibri" w:hAnsi="Calibri" w:cs="Times New Roman"/>
      <w:lang w:val="en-US" w:bidi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305FC8"/>
    <w:rPr>
      <w:rFonts w:ascii="Calibri" w:eastAsia="Calibri" w:hAnsi="Calibri" w:cs="Times New Roman"/>
      <w:lang w:val="en-US" w:bidi="en-US"/>
    </w:rPr>
  </w:style>
  <w:style w:type="paragraph" w:customStyle="1" w:styleId="Norml0">
    <w:name w:val="Norml"/>
    <w:rsid w:val="00305FC8"/>
    <w:pPr>
      <w:autoSpaceDE w:val="0"/>
      <w:autoSpaceDN w:val="0"/>
      <w:adjustRightInd w:val="0"/>
      <w:jc w:val="both"/>
    </w:pPr>
    <w:rPr>
      <w:rFonts w:ascii="MS Sans Serif" w:eastAsia="Times New Roman" w:hAnsi="MS Sans Serif" w:cs="Times New Roman"/>
      <w:sz w:val="24"/>
      <w:szCs w:val="24"/>
      <w:lang w:eastAsia="hu-HU"/>
    </w:rPr>
  </w:style>
  <w:style w:type="paragraph" w:customStyle="1" w:styleId="Nincstrkz1">
    <w:name w:val="Nincs térköz1"/>
    <w:basedOn w:val="Norml"/>
    <w:qFormat/>
    <w:rsid w:val="00305FC8"/>
    <w:pPr>
      <w:spacing w:before="100" w:beforeAutospacing="1" w:after="100" w:afterAutospacing="1"/>
      <w:ind w:firstLine="708"/>
    </w:pPr>
    <w:rPr>
      <w:rFonts w:eastAsia="Calibri"/>
      <w:iCs/>
      <w:szCs w:val="32"/>
      <w:lang w:eastAsia="en-US"/>
    </w:rPr>
  </w:style>
  <w:style w:type="paragraph" w:customStyle="1" w:styleId="ReszlegChar">
    <w:name w:val="Reszleg Char"/>
    <w:basedOn w:val="Norml"/>
    <w:rsid w:val="00305FC8"/>
    <w:pPr>
      <w:suppressAutoHyphens/>
      <w:spacing w:after="120"/>
      <w:ind w:left="426"/>
    </w:pPr>
    <w:rPr>
      <w:szCs w:val="20"/>
      <w:lang w:eastAsia="ar-SA"/>
    </w:rPr>
  </w:style>
  <w:style w:type="character" w:customStyle="1" w:styleId="ft">
    <w:name w:val="ft"/>
    <w:basedOn w:val="Bekezdsalapbettpusa"/>
    <w:rsid w:val="00305FC8"/>
    <w:rPr>
      <w:b w:val="0"/>
      <w:bCs w:val="0"/>
      <w:sz w:val="27"/>
      <w:szCs w:val="27"/>
    </w:rPr>
  </w:style>
  <w:style w:type="character" w:styleId="Kiemels2">
    <w:name w:val="Strong"/>
    <w:basedOn w:val="Bekezdsalapbettpusa"/>
    <w:qFormat/>
    <w:rsid w:val="00305FC8"/>
    <w:rPr>
      <w:b/>
      <w:bCs/>
    </w:rPr>
  </w:style>
  <w:style w:type="paragraph" w:styleId="Szvegtrzsbehzssal3">
    <w:name w:val="Body Text Indent 3"/>
    <w:basedOn w:val="Norml"/>
    <w:link w:val="Szvegtrzsbehzssal3Char"/>
    <w:rsid w:val="00305FC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305FC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305FC8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305FC8"/>
    <w:rPr>
      <w:rFonts w:ascii="Times New Roman" w:eastAsia="Times New Roman" w:hAnsi="Times New Roman" w:cs="Times New Roman"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305FC8"/>
  </w:style>
  <w:style w:type="paragraph" w:customStyle="1" w:styleId="Standard">
    <w:name w:val="Standard"/>
    <w:rsid w:val="00305FC8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hu-HU"/>
    </w:rPr>
  </w:style>
  <w:style w:type="paragraph" w:customStyle="1" w:styleId="Textbody">
    <w:name w:val="Text body"/>
    <w:basedOn w:val="Standard"/>
    <w:rsid w:val="00305FC8"/>
    <w:pPr>
      <w:spacing w:after="120"/>
    </w:pPr>
  </w:style>
  <w:style w:type="paragraph" w:customStyle="1" w:styleId="xmsonormal">
    <w:name w:val="x_msonormal"/>
    <w:basedOn w:val="Norml"/>
    <w:rsid w:val="00305FC8"/>
    <w:pPr>
      <w:spacing w:before="100" w:beforeAutospacing="1" w:after="100" w:afterAutospacing="1"/>
      <w:jc w:val="left"/>
    </w:pPr>
  </w:style>
  <w:style w:type="paragraph" w:customStyle="1" w:styleId="FreeForm">
    <w:name w:val="Free Form"/>
    <w:rsid w:val="00305FC8"/>
    <w:rPr>
      <w:rFonts w:ascii="Helvetica" w:eastAsia="ヒラギノ角ゴ Pro W3" w:hAnsi="Helvetica" w:cs="Times New Roman"/>
      <w:color w:val="000000"/>
      <w:sz w:val="24"/>
      <w:szCs w:val="20"/>
      <w:lang w:eastAsia="hu-HU"/>
    </w:rPr>
  </w:style>
  <w:style w:type="paragraph" w:customStyle="1" w:styleId="Default">
    <w:name w:val="Default"/>
    <w:basedOn w:val="Norml"/>
    <w:rsid w:val="00AF2E14"/>
    <w:pPr>
      <w:autoSpaceDE w:val="0"/>
      <w:autoSpaceDN w:val="0"/>
      <w:jc w:val="left"/>
    </w:pPr>
    <w:rPr>
      <w:rFonts w:eastAsia="Calibri"/>
      <w:color w:val="000000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779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4779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4779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radeknelk&#252;l.h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10" Type="http://schemas.openxmlformats.org/officeDocument/2006/relationships/hyperlink" Target="http://portal.nebih.gov.h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sporie\Documents\2017\Sz&#246;veges%20besz&#225;mol&#243;\2015_2016%20diagram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asporie\Documents\2017\Sz&#246;veges%20besz&#225;mol&#243;\2015_2016%20diagram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WinTiszt\temp\16BESZ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WinTiszt\temp\1612SZ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hu-HU"/>
              <a:t>Kiadások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2015. év</c:v>
          </c:tx>
          <c:invertIfNegative val="0"/>
          <c:cat>
            <c:strRef>
              <c:f>Munka1!$D$2:$D$11</c:f>
              <c:strCache>
                <c:ptCount val="10"/>
                <c:pt idx="0">
                  <c:v>Személyi</c:v>
                </c:pt>
                <c:pt idx="1">
                  <c:v>Szoc.ho. és járulékok</c:v>
                </c:pt>
                <c:pt idx="2">
                  <c:v>Dologi </c:v>
                </c:pt>
                <c:pt idx="3">
                  <c:v>Nemzetközi köt.</c:v>
                </c:pt>
                <c:pt idx="4">
                  <c:v>Egyéb  befizetések</c:v>
                </c:pt>
                <c:pt idx="5">
                  <c:v>Műk. célú kiadások áh-n belülre</c:v>
                </c:pt>
                <c:pt idx="6">
                  <c:v>Műk. célú kiadások áh-n kívülre</c:v>
                </c:pt>
                <c:pt idx="7">
                  <c:v>Beruházások</c:v>
                </c:pt>
                <c:pt idx="8">
                  <c:v>Felújítások</c:v>
                </c:pt>
                <c:pt idx="9">
                  <c:v>Lakáskölcsön</c:v>
                </c:pt>
              </c:strCache>
            </c:strRef>
          </c:cat>
          <c:val>
            <c:numRef>
              <c:f>Munka1!$E$2:$E$11</c:f>
              <c:numCache>
                <c:formatCode>#,##0</c:formatCode>
                <c:ptCount val="10"/>
                <c:pt idx="0">
                  <c:v>5101.634</c:v>
                </c:pt>
                <c:pt idx="1">
                  <c:v>1489.9280000000001</c:v>
                </c:pt>
                <c:pt idx="2">
                  <c:v>8099.6559999999999</c:v>
                </c:pt>
                <c:pt idx="3">
                  <c:v>6.6580000000000004</c:v>
                </c:pt>
                <c:pt idx="4">
                  <c:v>0</c:v>
                </c:pt>
                <c:pt idx="5">
                  <c:v>227.41300000000001</c:v>
                </c:pt>
                <c:pt idx="6">
                  <c:v>862.18799999999999</c:v>
                </c:pt>
                <c:pt idx="7">
                  <c:v>1977.0070000000001</c:v>
                </c:pt>
                <c:pt idx="8">
                  <c:v>315.22300000000001</c:v>
                </c:pt>
                <c:pt idx="9">
                  <c:v>69</c:v>
                </c:pt>
              </c:numCache>
            </c:numRef>
          </c:val>
        </c:ser>
        <c:ser>
          <c:idx val="1"/>
          <c:order val="1"/>
          <c:tx>
            <c:v>2016. év</c:v>
          </c:tx>
          <c:invertIfNegative val="0"/>
          <c:cat>
            <c:strRef>
              <c:f>Munka1!$D$2:$D$11</c:f>
              <c:strCache>
                <c:ptCount val="10"/>
                <c:pt idx="0">
                  <c:v>Személyi</c:v>
                </c:pt>
                <c:pt idx="1">
                  <c:v>Szoc.ho. és járulékok</c:v>
                </c:pt>
                <c:pt idx="2">
                  <c:v>Dologi </c:v>
                </c:pt>
                <c:pt idx="3">
                  <c:v>Nemzetközi köt.</c:v>
                </c:pt>
                <c:pt idx="4">
                  <c:v>Egyéb  befizetések</c:v>
                </c:pt>
                <c:pt idx="5">
                  <c:v>Műk. célú kiadások áh-n belülre</c:v>
                </c:pt>
                <c:pt idx="6">
                  <c:v>Műk. célú kiadások áh-n kívülre</c:v>
                </c:pt>
                <c:pt idx="7">
                  <c:v>Beruházások</c:v>
                </c:pt>
                <c:pt idx="8">
                  <c:v>Felújítások</c:v>
                </c:pt>
                <c:pt idx="9">
                  <c:v>Lakáskölcsön</c:v>
                </c:pt>
              </c:strCache>
            </c:strRef>
          </c:cat>
          <c:val>
            <c:numRef>
              <c:f>Munka1!$F$2:$F$11</c:f>
              <c:numCache>
                <c:formatCode>#,##0</c:formatCode>
                <c:ptCount val="10"/>
                <c:pt idx="0">
                  <c:v>5468.067</c:v>
                </c:pt>
                <c:pt idx="1">
                  <c:v>1564.203</c:v>
                </c:pt>
                <c:pt idx="2">
                  <c:v>8525.5840000000007</c:v>
                </c:pt>
                <c:pt idx="3">
                  <c:v>3.1139999999999999</c:v>
                </c:pt>
                <c:pt idx="4">
                  <c:v>19.059999999999999</c:v>
                </c:pt>
                <c:pt idx="5">
                  <c:v>90.117000000000004</c:v>
                </c:pt>
                <c:pt idx="6">
                  <c:v>2623.6959999999999</c:v>
                </c:pt>
                <c:pt idx="7">
                  <c:v>1641.633</c:v>
                </c:pt>
                <c:pt idx="8">
                  <c:v>196.16900000000001</c:v>
                </c:pt>
                <c:pt idx="9">
                  <c:v>77.400000000000006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44123776"/>
        <c:axId val="144125312"/>
      </c:barChart>
      <c:catAx>
        <c:axId val="144123776"/>
        <c:scaling>
          <c:orientation val="minMax"/>
        </c:scaling>
        <c:delete val="0"/>
        <c:axPos val="b"/>
        <c:majorTickMark val="none"/>
        <c:minorTickMark val="none"/>
        <c:tickLblPos val="nextTo"/>
        <c:crossAx val="144125312"/>
        <c:crosses val="autoZero"/>
        <c:auto val="1"/>
        <c:lblAlgn val="ctr"/>
        <c:lblOffset val="100"/>
        <c:noMultiLvlLbl val="0"/>
      </c:catAx>
      <c:valAx>
        <c:axId val="144125312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hu-HU"/>
                  <a:t>millió</a:t>
                </a:r>
                <a:r>
                  <a:rPr lang="hu-HU" baseline="0"/>
                  <a:t> Ft</a:t>
                </a:r>
                <a:endParaRPr lang="hu-HU"/>
              </a:p>
            </c:rich>
          </c:tx>
          <c:overlay val="0"/>
        </c:title>
        <c:numFmt formatCode="#,##0" sourceLinked="1"/>
        <c:majorTickMark val="none"/>
        <c:minorTickMark val="none"/>
        <c:tickLblPos val="nextTo"/>
        <c:crossAx val="144123776"/>
        <c:crosses val="autoZero"/>
        <c:crossBetween val="between"/>
        <c:majorUnit val="1000"/>
        <c:minorUnit val="500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Bev</a:t>
            </a:r>
            <a:r>
              <a:rPr lang="hu-HU"/>
              <a:t>ételek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6956535497038616"/>
          <c:y val="9.7266664482473675E-2"/>
          <c:w val="0.8215838767539746"/>
          <c:h val="0.61887160949541498"/>
        </c:manualLayout>
      </c:layout>
      <c:barChart>
        <c:barDir val="col"/>
        <c:grouping val="clustered"/>
        <c:varyColors val="0"/>
        <c:ser>
          <c:idx val="0"/>
          <c:order val="0"/>
          <c:tx>
            <c:v>2015. év</c:v>
          </c:tx>
          <c:invertIfNegative val="0"/>
          <c:cat>
            <c:strRef>
              <c:f>Munka1!$J$2:$J$10</c:f>
              <c:strCache>
                <c:ptCount val="9"/>
                <c:pt idx="0">
                  <c:v>Műk. c. támogatások áh-n belülről</c:v>
                </c:pt>
                <c:pt idx="1">
                  <c:v>Egyéb felhalmozási célú tám.</c:v>
                </c:pt>
                <c:pt idx="2">
                  <c:v>Közhatalmi bevételek</c:v>
                </c:pt>
                <c:pt idx="3">
                  <c:v>Intézményi műk. bevételek</c:v>
                </c:pt>
                <c:pt idx="4">
                  <c:v>Felhalmozási bevételek</c:v>
                </c:pt>
                <c:pt idx="5">
                  <c:v>Műk. c. átvett pénzeszközök</c:v>
                </c:pt>
                <c:pt idx="6">
                  <c:v>Felhalm. c. átvett pénzeszközök</c:v>
                </c:pt>
                <c:pt idx="7">
                  <c:v>Költségvetési támogatás</c:v>
                </c:pt>
                <c:pt idx="8">
                  <c:v>Előző évi maradvány</c:v>
                </c:pt>
              </c:strCache>
            </c:strRef>
          </c:cat>
          <c:val>
            <c:numRef>
              <c:f>Munka1!$K$2:$K$10</c:f>
              <c:numCache>
                <c:formatCode>#,##0</c:formatCode>
                <c:ptCount val="9"/>
                <c:pt idx="0">
                  <c:v>8677.348</c:v>
                </c:pt>
                <c:pt idx="1">
                  <c:v>18</c:v>
                </c:pt>
                <c:pt idx="2">
                  <c:v>6936.66</c:v>
                </c:pt>
                <c:pt idx="3">
                  <c:v>2893.8850000000002</c:v>
                </c:pt>
                <c:pt idx="4">
                  <c:v>0.39600000000000002</c:v>
                </c:pt>
                <c:pt idx="5">
                  <c:v>746.77499999999998</c:v>
                </c:pt>
                <c:pt idx="6">
                  <c:v>87.418999999999997</c:v>
                </c:pt>
                <c:pt idx="7">
                  <c:v>273.89699999999999</c:v>
                </c:pt>
                <c:pt idx="8">
                  <c:v>458.95699999999999</c:v>
                </c:pt>
              </c:numCache>
            </c:numRef>
          </c:val>
        </c:ser>
        <c:ser>
          <c:idx val="1"/>
          <c:order val="1"/>
          <c:tx>
            <c:v>2016. év</c:v>
          </c:tx>
          <c:invertIfNegative val="0"/>
          <c:cat>
            <c:strRef>
              <c:f>Munka1!$J$2:$J$10</c:f>
              <c:strCache>
                <c:ptCount val="9"/>
                <c:pt idx="0">
                  <c:v>Műk. c. támogatások áh-n belülről</c:v>
                </c:pt>
                <c:pt idx="1">
                  <c:v>Egyéb felhalmozási célú tám.</c:v>
                </c:pt>
                <c:pt idx="2">
                  <c:v>Közhatalmi bevételek</c:v>
                </c:pt>
                <c:pt idx="3">
                  <c:v>Intézményi műk. bevételek</c:v>
                </c:pt>
                <c:pt idx="4">
                  <c:v>Felhalmozási bevételek</c:v>
                </c:pt>
                <c:pt idx="5">
                  <c:v>Műk. c. átvett pénzeszközök</c:v>
                </c:pt>
                <c:pt idx="6">
                  <c:v>Felhalm. c. átvett pénzeszközök</c:v>
                </c:pt>
                <c:pt idx="7">
                  <c:v>Költségvetési támogatás</c:v>
                </c:pt>
                <c:pt idx="8">
                  <c:v>Előző évi maradvány</c:v>
                </c:pt>
              </c:strCache>
            </c:strRef>
          </c:cat>
          <c:val>
            <c:numRef>
              <c:f>Munka1!$L$2:$L$10</c:f>
              <c:numCache>
                <c:formatCode>#,##0</c:formatCode>
                <c:ptCount val="9"/>
                <c:pt idx="0">
                  <c:v>2435.268</c:v>
                </c:pt>
                <c:pt idx="1">
                  <c:v>1750.32</c:v>
                </c:pt>
                <c:pt idx="2">
                  <c:v>7583.1509999999998</c:v>
                </c:pt>
                <c:pt idx="3">
                  <c:v>2814.3649999999998</c:v>
                </c:pt>
                <c:pt idx="4">
                  <c:v>1.4550000000000001</c:v>
                </c:pt>
                <c:pt idx="5">
                  <c:v>921.09199999999998</c:v>
                </c:pt>
                <c:pt idx="6">
                  <c:v>90.106999999999999</c:v>
                </c:pt>
                <c:pt idx="7">
                  <c:v>4883.723</c:v>
                </c:pt>
                <c:pt idx="8">
                  <c:v>1944.63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5288192"/>
        <c:axId val="164305152"/>
      </c:barChart>
      <c:catAx>
        <c:axId val="145288192"/>
        <c:scaling>
          <c:orientation val="minMax"/>
        </c:scaling>
        <c:delete val="0"/>
        <c:axPos val="b"/>
        <c:majorTickMark val="none"/>
        <c:minorTickMark val="none"/>
        <c:tickLblPos val="nextTo"/>
        <c:crossAx val="164305152"/>
        <c:crosses val="autoZero"/>
        <c:auto val="1"/>
        <c:lblAlgn val="ctr"/>
        <c:lblOffset val="100"/>
        <c:noMultiLvlLbl val="0"/>
      </c:catAx>
      <c:valAx>
        <c:axId val="164305152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millió Ft</a:t>
                </a:r>
              </a:p>
            </c:rich>
          </c:tx>
          <c:overlay val="0"/>
        </c:title>
        <c:numFmt formatCode="#,##0" sourceLinked="1"/>
        <c:majorTickMark val="none"/>
        <c:minorTickMark val="none"/>
        <c:tickLblPos val="nextTo"/>
        <c:crossAx val="145288192"/>
        <c:crosses val="autoZero"/>
        <c:crossBetween val="between"/>
        <c:minorUnit val="500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2421103612048494E-2"/>
          <c:y val="0.10479177659721617"/>
          <c:w val="0.52469035120609919"/>
          <c:h val="0.80343434705654837"/>
        </c:manualLayout>
      </c:layout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fő</c:v>
                </c:pt>
              </c:strCache>
            </c:strRef>
          </c:tx>
          <c:explosion val="1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Munka1!$A$2:$A$12</c:f>
              <c:strCache>
                <c:ptCount val="11"/>
                <c:pt idx="0">
                  <c:v>rendes felmondás a munkáltató r.</c:v>
                </c:pt>
                <c:pt idx="1">
                  <c:v>végleges közigazgatási áthelyezés</c:v>
                </c:pt>
                <c:pt idx="2">
                  <c:v>alkalmatlanság</c:v>
                </c:pt>
                <c:pt idx="3">
                  <c:v>próbaidő alatt</c:v>
                </c:pt>
                <c:pt idx="4">
                  <c:v>lemondás</c:v>
                </c:pt>
                <c:pt idx="5">
                  <c:v>felmentés</c:v>
                </c:pt>
                <c:pt idx="6">
                  <c:v>PéP tv. alapján határozott idő lejártával</c:v>
                </c:pt>
                <c:pt idx="7">
                  <c:v>közös megegyezés</c:v>
                </c:pt>
                <c:pt idx="8">
                  <c:v>elhalálozás</c:v>
                </c:pt>
                <c:pt idx="9">
                  <c:v>határozott idő lejárta</c:v>
                </c:pt>
                <c:pt idx="10">
                  <c:v>öregségi nyugdíjkorhatár betöltésével</c:v>
                </c:pt>
              </c:strCache>
            </c:strRef>
          </c:cat>
          <c:val>
            <c:numRef>
              <c:f>Munka1!$B$2:$B$12</c:f>
              <c:numCache>
                <c:formatCode>General</c:formatCode>
                <c:ptCount val="11"/>
                <c:pt idx="0">
                  <c:v>1</c:v>
                </c:pt>
                <c:pt idx="1">
                  <c:v>9</c:v>
                </c:pt>
                <c:pt idx="2">
                  <c:v>1</c:v>
                </c:pt>
                <c:pt idx="3">
                  <c:v>13</c:v>
                </c:pt>
                <c:pt idx="4">
                  <c:v>9</c:v>
                </c:pt>
                <c:pt idx="5">
                  <c:v>66</c:v>
                </c:pt>
                <c:pt idx="6">
                  <c:v>3</c:v>
                </c:pt>
                <c:pt idx="7">
                  <c:v>69</c:v>
                </c:pt>
                <c:pt idx="8">
                  <c:v>1</c:v>
                </c:pt>
                <c:pt idx="9">
                  <c:v>17</c:v>
                </c:pt>
                <c:pt idx="10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7201108411330224"/>
          <c:y val="0.17275864543444083"/>
          <c:w val="0.31571767559119535"/>
          <c:h val="0.5815822400824586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  <c:spPr>
        <a:ln>
          <a:solidFill>
            <a:schemeClr val="tx1"/>
          </a:solidFill>
        </a:ln>
      </c:spPr>
    </c:sideWall>
    <c:backWall>
      <c:thickness val="0"/>
      <c:spPr>
        <a:ln>
          <a:solidFill>
            <a:schemeClr val="tx1"/>
          </a:solidFill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fő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Munka1!$A$2:$A$6</c:f>
              <c:strCache>
                <c:ptCount val="5"/>
                <c:pt idx="0">
                  <c:v>30 év alatti</c:v>
                </c:pt>
                <c:pt idx="1">
                  <c:v>31 és 40 év közötti</c:v>
                </c:pt>
                <c:pt idx="2">
                  <c:v>41 és 50 év közötti</c:v>
                </c:pt>
                <c:pt idx="3">
                  <c:v>51 és 60 év közötti</c:v>
                </c:pt>
                <c:pt idx="4">
                  <c:v>61 éves és a feletti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146</c:v>
                </c:pt>
                <c:pt idx="1">
                  <c:v>294</c:v>
                </c:pt>
                <c:pt idx="2">
                  <c:v>346</c:v>
                </c:pt>
                <c:pt idx="3">
                  <c:v>271</c:v>
                </c:pt>
                <c:pt idx="4">
                  <c:v>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5339904"/>
        <c:axId val="125345792"/>
        <c:axId val="0"/>
      </c:bar3DChart>
      <c:catAx>
        <c:axId val="1253399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hu-HU"/>
          </a:p>
        </c:txPr>
        <c:crossAx val="125345792"/>
        <c:crosses val="autoZero"/>
        <c:auto val="1"/>
        <c:lblAlgn val="ctr"/>
        <c:lblOffset val="100"/>
        <c:noMultiLvlLbl val="0"/>
      </c:catAx>
      <c:valAx>
        <c:axId val="125345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5339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68362-A0DE-4184-91D2-A580D154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36</Pages>
  <Words>11346</Words>
  <Characters>78295</Characters>
  <Application>Microsoft Office Word</Application>
  <DocSecurity>0</DocSecurity>
  <Lines>652</Lines>
  <Paragraphs>178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plachtao</dc:creator>
  <cp:lastModifiedBy>KVI</cp:lastModifiedBy>
  <cp:revision>23</cp:revision>
  <cp:lastPrinted>2017-04-19T14:27:00Z</cp:lastPrinted>
  <dcterms:created xsi:type="dcterms:W3CDTF">2017-04-18T12:21:00Z</dcterms:created>
  <dcterms:modified xsi:type="dcterms:W3CDTF">2017-04-19T14:42:00Z</dcterms:modified>
</cp:coreProperties>
</file>