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5F1" w:rsidRDefault="006545F1" w:rsidP="006545F1">
      <w:pPr>
        <w:pStyle w:val="Listaszerbekezds"/>
        <w:ind w:left="284"/>
        <w:rPr>
          <w:b/>
        </w:rPr>
      </w:pPr>
    </w:p>
    <w:p w:rsidR="00532AF6" w:rsidRPr="006545F1" w:rsidRDefault="006545F1" w:rsidP="006545F1">
      <w:pPr>
        <w:pStyle w:val="Listaszerbekezds"/>
        <w:ind w:left="284"/>
        <w:jc w:val="both"/>
        <w:rPr>
          <w:rFonts w:ascii="Times New Roman" w:hAnsi="Times New Roman" w:cs="Times New Roman"/>
          <w:b/>
        </w:rPr>
      </w:pPr>
      <w:r w:rsidRPr="006545F1">
        <w:rPr>
          <w:rFonts w:ascii="Times New Roman" w:hAnsi="Times New Roman" w:cs="Times New Roman"/>
          <w:b/>
        </w:rPr>
        <w:t xml:space="preserve">CUESTIONES REMITIDAS AL COMITÉ POR LA COMISIÓN DEL </w:t>
      </w:r>
      <w:r w:rsidRPr="006545F1">
        <w:rPr>
          <w:rFonts w:ascii="Times New Roman" w:hAnsi="Times New Roman" w:cs="Times New Roman"/>
          <w:b/>
          <w:i/>
        </w:rPr>
        <w:t>CODEX ALIMENTARIUS</w:t>
      </w:r>
      <w:r w:rsidRPr="006545F1">
        <w:rPr>
          <w:rFonts w:ascii="Times New Roman" w:hAnsi="Times New Roman" w:cs="Times New Roman"/>
          <w:b/>
        </w:rPr>
        <w:t xml:space="preserve"> Y OTROS COMITÉS DEL CODEX</w:t>
      </w:r>
      <w:r w:rsidRPr="006545F1">
        <w:rPr>
          <w:rFonts w:ascii="Times New Roman" w:hAnsi="Times New Roman" w:cs="Times New Roman"/>
          <w:b/>
        </w:rPr>
        <w:tab/>
      </w:r>
      <w:r w:rsidR="00532AF6" w:rsidRPr="006545F1">
        <w:rPr>
          <w:rFonts w:ascii="Times New Roman" w:hAnsi="Times New Roman" w:cs="Times New Roman"/>
          <w:b/>
        </w:rPr>
        <w:tab/>
      </w:r>
      <w:r w:rsidR="00532AF6" w:rsidRPr="006545F1">
        <w:rPr>
          <w:rFonts w:ascii="Times New Roman" w:hAnsi="Times New Roman" w:cs="Times New Roman"/>
          <w:b/>
        </w:rPr>
        <w:tab/>
        <w:t>CX/MAS 13/34/2</w:t>
      </w:r>
    </w:p>
    <w:p w:rsidR="00532AF6" w:rsidRPr="006545F1" w:rsidRDefault="00532AF6" w:rsidP="00532AF6">
      <w:pPr>
        <w:autoSpaceDE w:val="0"/>
        <w:autoSpaceDN w:val="0"/>
        <w:adjustRightInd w:val="0"/>
        <w:spacing w:after="0" w:line="240" w:lineRule="auto"/>
        <w:rPr>
          <w:rFonts w:ascii="Times New Roman" w:hAnsi="Times New Roman" w:cs="Times New Roman"/>
          <w:b/>
          <w:bCs/>
          <w:i/>
          <w:iCs/>
        </w:rPr>
      </w:pPr>
    </w:p>
    <w:p w:rsidR="00532AF6" w:rsidRPr="006545F1" w:rsidRDefault="00532AF6" w:rsidP="00532AF6">
      <w:pPr>
        <w:pStyle w:val="Listaszerbekezds"/>
        <w:numPr>
          <w:ilvl w:val="0"/>
          <w:numId w:val="3"/>
        </w:numPr>
        <w:autoSpaceDE w:val="0"/>
        <w:autoSpaceDN w:val="0"/>
        <w:adjustRightInd w:val="0"/>
        <w:spacing w:after="0" w:line="240" w:lineRule="auto"/>
        <w:rPr>
          <w:rFonts w:ascii="Times New Roman" w:hAnsi="Times New Roman" w:cs="Times New Roman"/>
          <w:b/>
          <w:bCs/>
          <w:i/>
        </w:rPr>
      </w:pPr>
      <w:r w:rsidRPr="006545F1">
        <w:rPr>
          <w:rFonts w:ascii="Times New Roman" w:hAnsi="Times New Roman" w:cs="Times New Roman"/>
          <w:b/>
          <w:bCs/>
          <w:i/>
        </w:rPr>
        <w:t>Otras Materias:</w:t>
      </w:r>
    </w:p>
    <w:p w:rsidR="00532AF6" w:rsidRPr="006545F1" w:rsidRDefault="00532AF6" w:rsidP="00532AF6">
      <w:pPr>
        <w:pStyle w:val="Listaszerbekezds"/>
        <w:autoSpaceDE w:val="0"/>
        <w:autoSpaceDN w:val="0"/>
        <w:adjustRightInd w:val="0"/>
        <w:spacing w:after="0" w:line="240" w:lineRule="auto"/>
        <w:jc w:val="both"/>
        <w:rPr>
          <w:rFonts w:ascii="Times New Roman" w:hAnsi="Times New Roman" w:cs="Times New Roman"/>
          <w:i/>
          <w:lang w:val="en-US"/>
        </w:rPr>
      </w:pPr>
    </w:p>
    <w:p w:rsidR="00532AF6" w:rsidRPr="006545F1" w:rsidRDefault="00532AF6" w:rsidP="00532AF6">
      <w:pPr>
        <w:pStyle w:val="Listaszerbekezds"/>
        <w:numPr>
          <w:ilvl w:val="0"/>
          <w:numId w:val="4"/>
        </w:numPr>
        <w:autoSpaceDE w:val="0"/>
        <w:autoSpaceDN w:val="0"/>
        <w:adjustRightInd w:val="0"/>
        <w:spacing w:after="0" w:line="240" w:lineRule="auto"/>
        <w:jc w:val="both"/>
        <w:rPr>
          <w:rFonts w:ascii="Times New Roman" w:hAnsi="Times New Roman" w:cs="Times New Roman"/>
          <w:b/>
          <w:bCs/>
          <w:i/>
          <w:iCs/>
        </w:rPr>
      </w:pPr>
      <w:r w:rsidRPr="006545F1">
        <w:rPr>
          <w:rFonts w:ascii="Times New Roman" w:hAnsi="Times New Roman" w:cs="Times New Roman"/>
          <w:b/>
          <w:bCs/>
          <w:i/>
          <w:iCs/>
        </w:rPr>
        <w:t>Propuesta de Limite  Máximo de Arsénico en arroz</w:t>
      </w:r>
    </w:p>
    <w:p w:rsidR="00532AF6" w:rsidRPr="006545F1" w:rsidRDefault="00532AF6" w:rsidP="00532AF6">
      <w:pPr>
        <w:pStyle w:val="Listaszerbekezds"/>
        <w:autoSpaceDE w:val="0"/>
        <w:autoSpaceDN w:val="0"/>
        <w:adjustRightInd w:val="0"/>
        <w:spacing w:after="0" w:line="240" w:lineRule="auto"/>
        <w:jc w:val="both"/>
        <w:rPr>
          <w:rFonts w:ascii="Times New Roman" w:hAnsi="Times New Roman" w:cs="Times New Roman"/>
          <w:i/>
          <w:sz w:val="6"/>
        </w:rPr>
      </w:pPr>
    </w:p>
    <w:p w:rsidR="009371D4" w:rsidRDefault="009371D4" w:rsidP="00532AF6">
      <w:pPr>
        <w:spacing w:after="0"/>
        <w:ind w:firstLine="360"/>
        <w:rPr>
          <w:rFonts w:ascii="Times New Roman" w:hAnsi="Times New Roman" w:cs="Times New Roman"/>
          <w:bCs/>
        </w:rPr>
      </w:pPr>
    </w:p>
    <w:p w:rsidR="00532AF6" w:rsidRPr="006545F1" w:rsidRDefault="00532AF6" w:rsidP="00532AF6">
      <w:pPr>
        <w:spacing w:after="0"/>
        <w:ind w:firstLine="360"/>
        <w:rPr>
          <w:rFonts w:ascii="Times New Roman" w:hAnsi="Times New Roman" w:cs="Times New Roman"/>
        </w:rPr>
      </w:pPr>
      <w:r w:rsidRPr="006545F1">
        <w:rPr>
          <w:rFonts w:ascii="Times New Roman" w:hAnsi="Times New Roman" w:cs="Times New Roman"/>
          <w:bCs/>
        </w:rPr>
        <w:t xml:space="preserve">       Los </w:t>
      </w:r>
      <w:r w:rsidRPr="006545F1">
        <w:rPr>
          <w:rFonts w:ascii="Times New Roman" w:hAnsi="Times New Roman" w:cs="Times New Roman"/>
        </w:rPr>
        <w:t xml:space="preserve">Métodos sugeridos para la determinación de Arsénico en arroz: </w:t>
      </w:r>
    </w:p>
    <w:p w:rsidR="00532AF6" w:rsidRPr="006545F1" w:rsidRDefault="00532AF6" w:rsidP="00532AF6">
      <w:pPr>
        <w:pStyle w:val="Listaszerbekezds"/>
        <w:rPr>
          <w:rFonts w:ascii="Times New Roman" w:hAnsi="Times New Roman" w:cs="Times New Roman"/>
        </w:rPr>
      </w:pPr>
      <w:r w:rsidRPr="006545F1">
        <w:rPr>
          <w:rFonts w:ascii="Times New Roman" w:hAnsi="Times New Roman" w:cs="Times New Roman"/>
        </w:rPr>
        <w:t xml:space="preserve">AOAC 986.15 – Fundamento: Metodos de Multielementos  - Absorción Atómica </w:t>
      </w:r>
      <w:r w:rsidRPr="006545F1">
        <w:rPr>
          <w:rFonts w:ascii="Times New Roman" w:hAnsi="Times New Roman" w:cs="Times New Roman"/>
          <w:i/>
          <w:iCs/>
          <w:sz w:val="16"/>
          <w:szCs w:val="16"/>
        </w:rPr>
        <w:t xml:space="preserve">- </w:t>
      </w:r>
      <w:r w:rsidRPr="006545F1">
        <w:rPr>
          <w:rFonts w:ascii="Times New Roman" w:hAnsi="Times New Roman" w:cs="Times New Roman"/>
        </w:rPr>
        <w:t>Tipo II.</w:t>
      </w:r>
    </w:p>
    <w:p w:rsidR="00532AF6" w:rsidRPr="006545F1" w:rsidRDefault="00532AF6" w:rsidP="00532AF6">
      <w:pPr>
        <w:pStyle w:val="Listaszerbekezds"/>
        <w:rPr>
          <w:rFonts w:ascii="Times New Roman" w:hAnsi="Times New Roman" w:cs="Times New Roman"/>
        </w:rPr>
      </w:pPr>
      <w:r w:rsidRPr="006545F1">
        <w:rPr>
          <w:rFonts w:ascii="Times New Roman" w:hAnsi="Times New Roman" w:cs="Times New Roman"/>
        </w:rPr>
        <w:t>AOAC 952.13 - Fundamento: método dimetil ditio carbamato de plata - Tipo III.</w:t>
      </w:r>
    </w:p>
    <w:p w:rsidR="00532AF6" w:rsidRPr="006545F1" w:rsidRDefault="00532AF6" w:rsidP="00532AF6">
      <w:pPr>
        <w:pStyle w:val="Listaszerbekezds"/>
        <w:rPr>
          <w:rFonts w:ascii="Times New Roman" w:hAnsi="Times New Roman" w:cs="Times New Roman"/>
        </w:rPr>
      </w:pPr>
    </w:p>
    <w:p w:rsidR="00532AF6" w:rsidRPr="006545F1" w:rsidRDefault="00532AF6" w:rsidP="00532AF6">
      <w:pPr>
        <w:pStyle w:val="Listaszerbekezds"/>
        <w:numPr>
          <w:ilvl w:val="0"/>
          <w:numId w:val="4"/>
        </w:numPr>
        <w:autoSpaceDE w:val="0"/>
        <w:autoSpaceDN w:val="0"/>
        <w:adjustRightInd w:val="0"/>
        <w:spacing w:after="0" w:line="240" w:lineRule="auto"/>
        <w:jc w:val="both"/>
        <w:rPr>
          <w:rFonts w:ascii="Times New Roman" w:hAnsi="Times New Roman" w:cs="Times New Roman"/>
          <w:b/>
          <w:bCs/>
          <w:i/>
          <w:iCs/>
        </w:rPr>
      </w:pPr>
      <w:r w:rsidRPr="006545F1">
        <w:rPr>
          <w:rFonts w:ascii="Times New Roman" w:hAnsi="Times New Roman" w:cs="Times New Roman"/>
          <w:b/>
          <w:bCs/>
          <w:i/>
          <w:iCs/>
        </w:rPr>
        <w:t>Criterios de performance para metodos de referencia y confirmación para biotoxinas marinas en las Normas de Moluscos Bivalvos vivos y crudos</w:t>
      </w:r>
    </w:p>
    <w:p w:rsidR="00532AF6" w:rsidRPr="006545F1" w:rsidRDefault="00532AF6" w:rsidP="00532AF6">
      <w:pPr>
        <w:pStyle w:val="Listaszerbekezds"/>
        <w:autoSpaceDE w:val="0"/>
        <w:autoSpaceDN w:val="0"/>
        <w:adjustRightInd w:val="0"/>
        <w:spacing w:after="0" w:line="240" w:lineRule="auto"/>
        <w:jc w:val="both"/>
        <w:rPr>
          <w:rFonts w:ascii="Times New Roman" w:hAnsi="Times New Roman" w:cs="Times New Roman"/>
          <w:i/>
          <w:sz w:val="6"/>
        </w:rPr>
      </w:pPr>
    </w:p>
    <w:p w:rsidR="00532AF6" w:rsidRPr="006545F1" w:rsidRDefault="00532AF6" w:rsidP="00532AF6">
      <w:pPr>
        <w:autoSpaceDE w:val="0"/>
        <w:autoSpaceDN w:val="0"/>
        <w:adjustRightInd w:val="0"/>
        <w:spacing w:after="0" w:line="240" w:lineRule="auto"/>
        <w:ind w:left="709"/>
        <w:jc w:val="both"/>
        <w:rPr>
          <w:rFonts w:ascii="Times New Roman" w:hAnsi="Times New Roman" w:cs="Times New Roman"/>
          <w:bCs/>
        </w:rPr>
      </w:pPr>
    </w:p>
    <w:p w:rsidR="00532AF6" w:rsidRPr="006545F1" w:rsidRDefault="00532AF6" w:rsidP="00532AF6">
      <w:pPr>
        <w:autoSpaceDE w:val="0"/>
        <w:autoSpaceDN w:val="0"/>
        <w:adjustRightInd w:val="0"/>
        <w:spacing w:after="0" w:line="240" w:lineRule="auto"/>
        <w:ind w:left="709"/>
        <w:jc w:val="both"/>
        <w:rPr>
          <w:rFonts w:ascii="Times New Roman" w:hAnsi="Times New Roman" w:cs="Times New Roman"/>
          <w:bCs/>
        </w:rPr>
      </w:pPr>
      <w:r w:rsidRPr="006545F1">
        <w:rPr>
          <w:rFonts w:ascii="Times New Roman" w:hAnsi="Times New Roman" w:cs="Times New Roman"/>
          <w:bCs/>
        </w:rPr>
        <w:t xml:space="preserve">Parece adecuado el criterio de </w:t>
      </w:r>
      <w:r w:rsidRPr="006545F1">
        <w:rPr>
          <w:rFonts w:ascii="Times New Roman" w:hAnsi="Times New Roman" w:cs="Times New Roman"/>
        </w:rPr>
        <w:t xml:space="preserve">estos métodos de referencia o confirmación puedan satisfacer tanto el rango mínimo aplicable o el LOD y el LOQ. Es importante tener claridad si las </w:t>
      </w:r>
      <w:r w:rsidRPr="006545F1">
        <w:rPr>
          <w:rFonts w:ascii="Times New Roman" w:hAnsi="Times New Roman" w:cs="Times New Roman"/>
          <w:b/>
          <w:bCs/>
          <w:sz w:val="17"/>
          <w:szCs w:val="17"/>
        </w:rPr>
        <w:t xml:space="preserve">DIRECTRICES PARA ESTABLECER VALORES NUMÉRICOS RELATIVOS A LOS CRITERIOS DE MÉTODO Y/O EVALUAR LOS MÉTODOS PARA EL CUMPLIMIENTO DE LOS MISMOS </w:t>
      </w:r>
      <w:r w:rsidRPr="006545F1">
        <w:rPr>
          <w:rFonts w:ascii="Times New Roman" w:hAnsi="Times New Roman" w:cs="Times New Roman"/>
          <w:bCs/>
        </w:rPr>
        <w:t>son adecuados para métodos de análisis basados en Bioensayo, o más bien están enfocados a métodos de análisis químicos o instrumentales.</w:t>
      </w:r>
      <w:r w:rsidRPr="006545F1">
        <w:rPr>
          <w:rFonts w:ascii="Times New Roman" w:hAnsi="Times New Roman" w:cs="Times New Roman"/>
        </w:rPr>
        <w:t xml:space="preserve"> A fin de evaluar si para este caso, se pueda apoyar  los criterios numéricos de la Tabla 1.  </w:t>
      </w:r>
    </w:p>
    <w:p w:rsidR="00532AF6" w:rsidRPr="006545F1" w:rsidRDefault="00532AF6" w:rsidP="00532AF6">
      <w:pPr>
        <w:autoSpaceDE w:val="0"/>
        <w:autoSpaceDN w:val="0"/>
        <w:adjustRightInd w:val="0"/>
        <w:spacing w:after="0" w:line="240" w:lineRule="auto"/>
        <w:ind w:left="709"/>
        <w:jc w:val="both"/>
        <w:rPr>
          <w:rFonts w:ascii="Times New Roman" w:hAnsi="Times New Roman" w:cs="Times New Roman"/>
          <w:sz w:val="24"/>
        </w:rPr>
      </w:pPr>
    </w:p>
    <w:p w:rsidR="00532AF6" w:rsidRPr="006545F1" w:rsidRDefault="00532AF6" w:rsidP="00532AF6">
      <w:pPr>
        <w:pStyle w:val="Listaszerbekezds"/>
        <w:numPr>
          <w:ilvl w:val="0"/>
          <w:numId w:val="4"/>
        </w:numPr>
        <w:autoSpaceDE w:val="0"/>
        <w:autoSpaceDN w:val="0"/>
        <w:adjustRightInd w:val="0"/>
        <w:spacing w:after="0" w:line="240" w:lineRule="auto"/>
        <w:jc w:val="both"/>
        <w:rPr>
          <w:rFonts w:ascii="Times New Roman" w:hAnsi="Times New Roman" w:cs="Times New Roman"/>
          <w:b/>
          <w:bCs/>
          <w:i/>
          <w:iCs/>
        </w:rPr>
      </w:pPr>
      <w:r w:rsidRPr="006545F1">
        <w:rPr>
          <w:rFonts w:ascii="Times New Roman" w:hAnsi="Times New Roman" w:cs="Times New Roman"/>
          <w:b/>
          <w:bCs/>
          <w:i/>
          <w:iCs/>
        </w:rPr>
        <w:t>Métodos de Análisis de Ácidos grasos Trans</w:t>
      </w:r>
    </w:p>
    <w:p w:rsidR="00532AF6" w:rsidRPr="006545F1" w:rsidRDefault="00532AF6" w:rsidP="00532AF6">
      <w:pPr>
        <w:autoSpaceDE w:val="0"/>
        <w:autoSpaceDN w:val="0"/>
        <w:adjustRightInd w:val="0"/>
        <w:spacing w:after="0" w:line="240" w:lineRule="auto"/>
        <w:ind w:left="708"/>
        <w:jc w:val="both"/>
        <w:rPr>
          <w:rFonts w:ascii="Times New Roman" w:hAnsi="Times New Roman" w:cs="Times New Roman"/>
          <w:bCs/>
          <w:iCs/>
        </w:rPr>
      </w:pPr>
    </w:p>
    <w:p w:rsidR="00532AF6" w:rsidRPr="006545F1" w:rsidRDefault="00532AF6" w:rsidP="00532AF6">
      <w:pPr>
        <w:autoSpaceDE w:val="0"/>
        <w:autoSpaceDN w:val="0"/>
        <w:adjustRightInd w:val="0"/>
        <w:spacing w:after="0" w:line="240" w:lineRule="auto"/>
        <w:rPr>
          <w:rFonts w:ascii="Times New Roman" w:hAnsi="Times New Roman" w:cs="Times New Roman"/>
        </w:rPr>
      </w:pPr>
    </w:p>
    <w:p w:rsidR="00532AF6" w:rsidRPr="00DA1D98" w:rsidRDefault="00532AF6" w:rsidP="00DE1CC2">
      <w:pPr>
        <w:spacing w:after="0"/>
        <w:ind w:left="708"/>
        <w:rPr>
          <w:rFonts w:ascii="Times New Roman" w:hAnsi="Times New Roman" w:cs="Times New Roman"/>
        </w:rPr>
      </w:pPr>
      <w:bookmarkStart w:id="0" w:name="_GoBack"/>
      <w:r w:rsidRPr="00DA1D98">
        <w:rPr>
          <w:rFonts w:ascii="Times New Roman" w:hAnsi="Times New Roman" w:cs="Times New Roman"/>
          <w:bCs/>
        </w:rPr>
        <w:t xml:space="preserve">Se apoya la oficialización del Método </w:t>
      </w:r>
      <w:r w:rsidR="00DA1D98" w:rsidRPr="00DA1D98">
        <w:rPr>
          <w:rFonts w:ascii="Times New Roman" w:hAnsi="Times New Roman" w:cs="Times New Roman"/>
        </w:rPr>
        <w:t xml:space="preserve">AOCS Ce 1f 96 como método Tipo II y AOAC </w:t>
      </w:r>
      <w:r w:rsidRPr="00DA1D98">
        <w:rPr>
          <w:rFonts w:ascii="Times New Roman" w:hAnsi="Times New Roman" w:cs="Times New Roman"/>
          <w:bCs/>
        </w:rPr>
        <w:t>996.06 como Tipo III.</w:t>
      </w:r>
    </w:p>
    <w:p w:rsidR="00532AF6" w:rsidRPr="00DA1D98" w:rsidRDefault="00532AF6" w:rsidP="00532AF6">
      <w:pPr>
        <w:autoSpaceDE w:val="0"/>
        <w:autoSpaceDN w:val="0"/>
        <w:adjustRightInd w:val="0"/>
        <w:spacing w:after="0" w:line="240" w:lineRule="auto"/>
        <w:ind w:left="284"/>
        <w:jc w:val="both"/>
        <w:rPr>
          <w:rFonts w:ascii="Times New Roman" w:hAnsi="Times New Roman" w:cs="Times New Roman"/>
          <w:i/>
        </w:rPr>
      </w:pPr>
    </w:p>
    <w:bookmarkEnd w:id="0"/>
    <w:p w:rsidR="00532AF6" w:rsidRPr="006545F1" w:rsidRDefault="00532AF6" w:rsidP="00532AF6">
      <w:pPr>
        <w:autoSpaceDE w:val="0"/>
        <w:autoSpaceDN w:val="0"/>
        <w:adjustRightInd w:val="0"/>
        <w:spacing w:after="0" w:line="240" w:lineRule="auto"/>
        <w:ind w:left="284"/>
        <w:jc w:val="both"/>
        <w:rPr>
          <w:rFonts w:ascii="Times New Roman" w:hAnsi="Times New Roman" w:cs="Times New Roman"/>
          <w:i/>
        </w:rPr>
      </w:pPr>
    </w:p>
    <w:p w:rsidR="00532AF6" w:rsidRPr="006545F1" w:rsidRDefault="00532AF6" w:rsidP="00532AF6">
      <w:pPr>
        <w:pStyle w:val="Listaszerbekezds"/>
        <w:spacing w:after="0" w:line="240" w:lineRule="auto"/>
        <w:ind w:left="284"/>
        <w:rPr>
          <w:rFonts w:ascii="Times New Roman" w:hAnsi="Times New Roman" w:cs="Times New Roman"/>
          <w:b/>
        </w:rPr>
        <w:sectPr w:rsidR="00532AF6" w:rsidRPr="006545F1">
          <w:headerReference w:type="default" r:id="rId7"/>
          <w:footerReference w:type="default" r:id="rId8"/>
          <w:pgSz w:w="12240" w:h="15840"/>
          <w:pgMar w:top="1417" w:right="1701" w:bottom="1417" w:left="1701" w:header="708" w:footer="708" w:gutter="0"/>
          <w:cols w:space="708"/>
          <w:docGrid w:linePitch="360"/>
        </w:sectPr>
      </w:pPr>
    </w:p>
    <w:p w:rsidR="00532AF6" w:rsidRPr="006545F1" w:rsidRDefault="00532AF6" w:rsidP="00532AF6">
      <w:pPr>
        <w:pStyle w:val="Listaszerbekezds"/>
        <w:spacing w:after="0" w:line="240" w:lineRule="auto"/>
        <w:ind w:left="284"/>
        <w:rPr>
          <w:rFonts w:ascii="Times New Roman" w:hAnsi="Times New Roman" w:cs="Times New Roman"/>
          <w:b/>
        </w:rPr>
      </w:pPr>
    </w:p>
    <w:p w:rsidR="00532AF6" w:rsidRDefault="006545F1" w:rsidP="006545F1">
      <w:pPr>
        <w:pStyle w:val="Listaszerbekezds"/>
        <w:spacing w:after="0"/>
        <w:ind w:left="0"/>
        <w:jc w:val="both"/>
        <w:rPr>
          <w:rFonts w:ascii="Times New Roman" w:hAnsi="Times New Roman" w:cs="Times New Roman"/>
          <w:b/>
        </w:rPr>
      </w:pPr>
      <w:r w:rsidRPr="006545F1">
        <w:rPr>
          <w:rFonts w:ascii="Times New Roman" w:hAnsi="Times New Roman" w:cs="Times New Roman"/>
          <w:b/>
        </w:rPr>
        <w:t>DOCUMENTO DE DISCUSIÓN SOBRE LA ACTUALIZACIÓN DE LAS REFERENCIAS A LOS MÉTODOS DE ANÁLISIS   CX/MAS 13/34/6</w:t>
      </w:r>
    </w:p>
    <w:p w:rsidR="006545F1" w:rsidRDefault="006545F1" w:rsidP="006545F1">
      <w:pPr>
        <w:pStyle w:val="Listaszerbekezds"/>
        <w:spacing w:after="0"/>
        <w:ind w:left="0"/>
        <w:jc w:val="both"/>
        <w:rPr>
          <w:rFonts w:ascii="Times New Roman" w:hAnsi="Times New Roman" w:cs="Times New Roman"/>
          <w:b/>
        </w:rPr>
      </w:pPr>
    </w:p>
    <w:p w:rsidR="006545F1" w:rsidRPr="006545F1" w:rsidRDefault="006545F1" w:rsidP="006545F1">
      <w:pPr>
        <w:autoSpaceDE w:val="0"/>
        <w:autoSpaceDN w:val="0"/>
        <w:adjustRightInd w:val="0"/>
        <w:spacing w:after="0" w:line="240" w:lineRule="auto"/>
        <w:jc w:val="both"/>
        <w:rPr>
          <w:rFonts w:ascii="Times New Roman" w:hAnsi="Times New Roman" w:cs="Times New Roman"/>
        </w:rPr>
      </w:pPr>
      <w:r w:rsidRPr="006545F1">
        <w:rPr>
          <w:rFonts w:ascii="Times New Roman" w:hAnsi="Times New Roman" w:cs="Times New Roman"/>
        </w:rPr>
        <w:t>Se considera apropiado que en cuanto a que actualicen los métodos oficializados cuando existe una ultima versión publicada, por lo cual se apoya lo indicado en la Tabla IV. En la actualidad puede que esta situación se vuelva a repetir, por lo cual se sugiere al ser aprobados no se coloque entre paréntesis el año, sino más bien se acuerde que sea siempre la  ultima versión vigente.</w:t>
      </w:r>
    </w:p>
    <w:p w:rsidR="006545F1" w:rsidRDefault="006545F1" w:rsidP="006545F1">
      <w:pPr>
        <w:autoSpaceDE w:val="0"/>
        <w:autoSpaceDN w:val="0"/>
        <w:adjustRightInd w:val="0"/>
        <w:spacing w:after="0" w:line="240" w:lineRule="auto"/>
        <w:jc w:val="both"/>
        <w:rPr>
          <w:rFonts w:ascii="Times New Roman" w:hAnsi="Times New Roman" w:cs="Times New Roman"/>
          <w:bCs/>
        </w:rPr>
      </w:pPr>
    </w:p>
    <w:p w:rsidR="006545F1" w:rsidRPr="006545F1" w:rsidRDefault="006545F1" w:rsidP="006545F1">
      <w:pPr>
        <w:autoSpaceDE w:val="0"/>
        <w:autoSpaceDN w:val="0"/>
        <w:adjustRightInd w:val="0"/>
        <w:spacing w:after="0" w:line="240" w:lineRule="auto"/>
        <w:jc w:val="both"/>
        <w:rPr>
          <w:rFonts w:ascii="Times New Roman" w:hAnsi="Times New Roman" w:cs="Times New Roman"/>
          <w:i/>
        </w:rPr>
      </w:pPr>
      <w:r w:rsidRPr="006545F1">
        <w:rPr>
          <w:rFonts w:ascii="Times New Roman" w:hAnsi="Times New Roman" w:cs="Times New Roman"/>
          <w:bCs/>
        </w:rPr>
        <w:t xml:space="preserve">Se apoya las modificaciones de la tabla </w:t>
      </w:r>
      <w:r>
        <w:rPr>
          <w:rFonts w:ascii="Times New Roman" w:hAnsi="Times New Roman" w:cs="Times New Roman"/>
          <w:bCs/>
        </w:rPr>
        <w:t>I</w:t>
      </w:r>
      <w:r w:rsidRPr="006545F1">
        <w:rPr>
          <w:rFonts w:ascii="Times New Roman" w:hAnsi="Times New Roman" w:cs="Times New Roman"/>
          <w:bCs/>
        </w:rPr>
        <w:t>V</w:t>
      </w:r>
      <w:r>
        <w:rPr>
          <w:rFonts w:ascii="Times New Roman" w:hAnsi="Times New Roman" w:cs="Times New Roman"/>
          <w:bCs/>
        </w:rPr>
        <w:t>, V, VI y VII</w:t>
      </w:r>
      <w:r w:rsidRPr="006545F1">
        <w:rPr>
          <w:rFonts w:ascii="Times New Roman" w:hAnsi="Times New Roman" w:cs="Times New Roman"/>
          <w:bCs/>
        </w:rPr>
        <w:t>.</w:t>
      </w:r>
    </w:p>
    <w:p w:rsidR="00532AF6" w:rsidRPr="006545F1" w:rsidRDefault="00532AF6" w:rsidP="00532AF6">
      <w:pPr>
        <w:pStyle w:val="Listaszerbekezds"/>
        <w:spacing w:after="0"/>
        <w:ind w:left="0"/>
        <w:jc w:val="both"/>
        <w:rPr>
          <w:rFonts w:ascii="Times New Roman" w:hAnsi="Times New Roman" w:cs="Times New Roman"/>
          <w:b/>
        </w:rPr>
      </w:pPr>
    </w:p>
    <w:p w:rsidR="00532AF6" w:rsidRPr="006545F1" w:rsidRDefault="00532AF6" w:rsidP="00532AF6">
      <w:pPr>
        <w:rPr>
          <w:rFonts w:ascii="Times New Roman" w:hAnsi="Times New Roman" w:cs="Times New Roman"/>
          <w:lang w:val="en-US"/>
        </w:rPr>
      </w:pPr>
      <w:r w:rsidRPr="006545F1">
        <w:rPr>
          <w:rFonts w:ascii="Times New Roman" w:hAnsi="Times New Roman" w:cs="Times New Roman"/>
          <w:sz w:val="20"/>
          <w:szCs w:val="20"/>
          <w:lang w:val="en-US"/>
        </w:rPr>
        <w:t xml:space="preserve">Table IV – Methods of Analyses outdated type </w:t>
      </w:r>
    </w:p>
    <w:tbl>
      <w:tblPr>
        <w:tblW w:w="1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6"/>
        <w:gridCol w:w="2216"/>
        <w:gridCol w:w="2216"/>
        <w:gridCol w:w="2216"/>
        <w:gridCol w:w="2216"/>
        <w:gridCol w:w="2216"/>
      </w:tblGrid>
      <w:tr w:rsidR="00532AF6" w:rsidRPr="006545F1" w:rsidTr="00DC2D54">
        <w:trPr>
          <w:trHeight w:val="202"/>
        </w:trPr>
        <w:tc>
          <w:tcPr>
            <w:tcW w:w="2216" w:type="dxa"/>
          </w:tcPr>
          <w:p w:rsidR="00532AF6" w:rsidRPr="006545F1" w:rsidRDefault="00532AF6" w:rsidP="00DC2D54">
            <w:pPr>
              <w:pStyle w:val="Default"/>
              <w:rPr>
                <w:sz w:val="20"/>
                <w:szCs w:val="20"/>
                <w:lang w:val="en-US"/>
              </w:rPr>
            </w:pPr>
            <w:r w:rsidRPr="006545F1">
              <w:rPr>
                <w:b/>
                <w:bCs/>
                <w:sz w:val="20"/>
                <w:szCs w:val="20"/>
                <w:lang w:val="en-US"/>
              </w:rPr>
              <w:t xml:space="preserve">COMMODITY </w:t>
            </w:r>
          </w:p>
        </w:tc>
        <w:tc>
          <w:tcPr>
            <w:tcW w:w="2216" w:type="dxa"/>
          </w:tcPr>
          <w:p w:rsidR="00532AF6" w:rsidRPr="006545F1" w:rsidRDefault="00532AF6" w:rsidP="00DC2D54">
            <w:pPr>
              <w:pStyle w:val="Default"/>
              <w:rPr>
                <w:sz w:val="20"/>
                <w:szCs w:val="20"/>
              </w:rPr>
            </w:pPr>
            <w:r w:rsidRPr="006545F1">
              <w:rPr>
                <w:b/>
                <w:bCs/>
                <w:sz w:val="20"/>
                <w:szCs w:val="20"/>
              </w:rPr>
              <w:t xml:space="preserve">PROVISION </w:t>
            </w:r>
          </w:p>
        </w:tc>
        <w:tc>
          <w:tcPr>
            <w:tcW w:w="2216" w:type="dxa"/>
          </w:tcPr>
          <w:p w:rsidR="00532AF6" w:rsidRPr="006545F1" w:rsidRDefault="00532AF6" w:rsidP="00DC2D54">
            <w:pPr>
              <w:pStyle w:val="Default"/>
              <w:rPr>
                <w:sz w:val="20"/>
                <w:szCs w:val="20"/>
              </w:rPr>
            </w:pPr>
            <w:r w:rsidRPr="006545F1">
              <w:rPr>
                <w:b/>
                <w:bCs/>
                <w:sz w:val="20"/>
                <w:szCs w:val="20"/>
              </w:rPr>
              <w:t xml:space="preserve">METHOD </w:t>
            </w:r>
          </w:p>
        </w:tc>
        <w:tc>
          <w:tcPr>
            <w:tcW w:w="2216" w:type="dxa"/>
          </w:tcPr>
          <w:p w:rsidR="00532AF6" w:rsidRPr="006545F1" w:rsidRDefault="00532AF6" w:rsidP="00DC2D54">
            <w:pPr>
              <w:pStyle w:val="Default"/>
              <w:rPr>
                <w:sz w:val="20"/>
                <w:szCs w:val="20"/>
              </w:rPr>
            </w:pPr>
            <w:r w:rsidRPr="006545F1">
              <w:rPr>
                <w:b/>
                <w:bCs/>
                <w:sz w:val="20"/>
                <w:szCs w:val="20"/>
              </w:rPr>
              <w:t xml:space="preserve">PRINCIPLE </w:t>
            </w:r>
          </w:p>
        </w:tc>
        <w:tc>
          <w:tcPr>
            <w:tcW w:w="2216" w:type="dxa"/>
          </w:tcPr>
          <w:p w:rsidR="00532AF6" w:rsidRPr="006545F1" w:rsidRDefault="00532AF6" w:rsidP="00DC2D54">
            <w:pPr>
              <w:pStyle w:val="Default"/>
              <w:rPr>
                <w:sz w:val="20"/>
                <w:szCs w:val="20"/>
              </w:rPr>
            </w:pPr>
            <w:r w:rsidRPr="006545F1">
              <w:rPr>
                <w:b/>
                <w:bCs/>
                <w:sz w:val="20"/>
                <w:szCs w:val="20"/>
              </w:rPr>
              <w:t xml:space="preserve">TYPE </w:t>
            </w:r>
          </w:p>
        </w:tc>
        <w:tc>
          <w:tcPr>
            <w:tcW w:w="2216" w:type="dxa"/>
          </w:tcPr>
          <w:p w:rsidR="00532AF6" w:rsidRPr="006545F1" w:rsidRDefault="00532AF6" w:rsidP="00DC2D54">
            <w:pPr>
              <w:pStyle w:val="Default"/>
              <w:rPr>
                <w:sz w:val="20"/>
                <w:szCs w:val="20"/>
              </w:rPr>
            </w:pPr>
            <w:r w:rsidRPr="006545F1">
              <w:rPr>
                <w:b/>
                <w:bCs/>
                <w:sz w:val="20"/>
                <w:szCs w:val="20"/>
              </w:rPr>
              <w:t xml:space="preserve">UPDATE METHOD VERSION </w:t>
            </w:r>
          </w:p>
        </w:tc>
      </w:tr>
      <w:tr w:rsidR="00532AF6" w:rsidRPr="006545F1" w:rsidTr="00DC2D54">
        <w:trPr>
          <w:trHeight w:val="320"/>
        </w:trPr>
        <w:tc>
          <w:tcPr>
            <w:tcW w:w="2216" w:type="dxa"/>
          </w:tcPr>
          <w:p w:rsidR="00532AF6" w:rsidRPr="006545F1" w:rsidRDefault="00532AF6" w:rsidP="00DC2D54">
            <w:pPr>
              <w:pStyle w:val="Default"/>
              <w:rPr>
                <w:sz w:val="20"/>
                <w:szCs w:val="20"/>
                <w:lang w:val="en-US"/>
              </w:rPr>
            </w:pPr>
            <w:r w:rsidRPr="006545F1">
              <w:rPr>
                <w:sz w:val="20"/>
                <w:szCs w:val="20"/>
                <w:lang w:val="en-US"/>
              </w:rPr>
              <w:t xml:space="preserve">Degermed maize (corn); meal and maize (corn) grits </w:t>
            </w:r>
          </w:p>
        </w:tc>
        <w:tc>
          <w:tcPr>
            <w:tcW w:w="2216" w:type="dxa"/>
          </w:tcPr>
          <w:p w:rsidR="00532AF6" w:rsidRPr="006545F1" w:rsidRDefault="00532AF6" w:rsidP="00DC2D54">
            <w:pPr>
              <w:pStyle w:val="Default"/>
              <w:rPr>
                <w:sz w:val="20"/>
                <w:szCs w:val="20"/>
              </w:rPr>
            </w:pPr>
            <w:r w:rsidRPr="006545F1">
              <w:rPr>
                <w:sz w:val="20"/>
                <w:szCs w:val="20"/>
              </w:rPr>
              <w:t xml:space="preserve">Moisture </w:t>
            </w:r>
          </w:p>
        </w:tc>
        <w:tc>
          <w:tcPr>
            <w:tcW w:w="2216" w:type="dxa"/>
          </w:tcPr>
          <w:p w:rsidR="00532AF6" w:rsidRPr="006545F1" w:rsidRDefault="00532AF6" w:rsidP="00DC2D54">
            <w:pPr>
              <w:pStyle w:val="Default"/>
              <w:rPr>
                <w:sz w:val="20"/>
                <w:szCs w:val="20"/>
              </w:rPr>
            </w:pPr>
            <w:r w:rsidRPr="006545F1">
              <w:rPr>
                <w:sz w:val="20"/>
                <w:szCs w:val="20"/>
              </w:rPr>
              <w:t xml:space="preserve">- ISO 712:1998 </w:t>
            </w:r>
          </w:p>
        </w:tc>
        <w:tc>
          <w:tcPr>
            <w:tcW w:w="2216" w:type="dxa"/>
          </w:tcPr>
          <w:p w:rsidR="00532AF6" w:rsidRPr="006545F1" w:rsidRDefault="00532AF6" w:rsidP="00DC2D54">
            <w:pPr>
              <w:pStyle w:val="Default"/>
              <w:rPr>
                <w:sz w:val="20"/>
                <w:szCs w:val="20"/>
              </w:rPr>
            </w:pPr>
            <w:r w:rsidRPr="006545F1">
              <w:rPr>
                <w:sz w:val="20"/>
                <w:szCs w:val="20"/>
              </w:rPr>
              <w:t xml:space="preserve">Gravimetry </w:t>
            </w:r>
          </w:p>
        </w:tc>
        <w:tc>
          <w:tcPr>
            <w:tcW w:w="2216" w:type="dxa"/>
          </w:tcPr>
          <w:p w:rsidR="00532AF6" w:rsidRPr="006545F1" w:rsidRDefault="00532AF6" w:rsidP="00DC2D54">
            <w:pPr>
              <w:pStyle w:val="Default"/>
              <w:rPr>
                <w:sz w:val="20"/>
                <w:szCs w:val="20"/>
              </w:rPr>
            </w:pPr>
            <w:r w:rsidRPr="006545F1">
              <w:rPr>
                <w:sz w:val="20"/>
                <w:szCs w:val="20"/>
              </w:rPr>
              <w:t xml:space="preserve">I </w:t>
            </w:r>
          </w:p>
        </w:tc>
        <w:tc>
          <w:tcPr>
            <w:tcW w:w="2216" w:type="dxa"/>
          </w:tcPr>
          <w:p w:rsidR="00532AF6" w:rsidRPr="006545F1" w:rsidRDefault="00532AF6" w:rsidP="00DC2D54">
            <w:pPr>
              <w:pStyle w:val="Default"/>
              <w:rPr>
                <w:sz w:val="20"/>
                <w:szCs w:val="20"/>
              </w:rPr>
            </w:pPr>
            <w:r w:rsidRPr="006545F1">
              <w:rPr>
                <w:sz w:val="20"/>
                <w:szCs w:val="20"/>
              </w:rPr>
              <w:t xml:space="preserve">ISO 712:2009 </w:t>
            </w:r>
          </w:p>
        </w:tc>
      </w:tr>
      <w:tr w:rsidR="00532AF6" w:rsidRPr="00DA1D98" w:rsidTr="00DC2D54">
        <w:trPr>
          <w:trHeight w:val="222"/>
        </w:trPr>
        <w:tc>
          <w:tcPr>
            <w:tcW w:w="2216" w:type="dxa"/>
          </w:tcPr>
          <w:p w:rsidR="00532AF6" w:rsidRPr="006545F1" w:rsidRDefault="00532AF6" w:rsidP="00DC2D54">
            <w:pPr>
              <w:pStyle w:val="Default"/>
              <w:rPr>
                <w:sz w:val="20"/>
                <w:szCs w:val="20"/>
              </w:rPr>
            </w:pPr>
            <w:r w:rsidRPr="006545F1">
              <w:rPr>
                <w:sz w:val="20"/>
                <w:szCs w:val="20"/>
              </w:rPr>
              <w:t xml:space="preserve">Fruit Juices and Nectars </w:t>
            </w:r>
          </w:p>
        </w:tc>
        <w:tc>
          <w:tcPr>
            <w:tcW w:w="2216" w:type="dxa"/>
          </w:tcPr>
          <w:p w:rsidR="00532AF6" w:rsidRPr="006545F1" w:rsidRDefault="00532AF6" w:rsidP="00DC2D54">
            <w:pPr>
              <w:pStyle w:val="Default"/>
              <w:rPr>
                <w:sz w:val="20"/>
                <w:szCs w:val="20"/>
                <w:lang w:val="en-US"/>
              </w:rPr>
            </w:pPr>
            <w:r w:rsidRPr="006545F1">
              <w:rPr>
                <w:sz w:val="20"/>
                <w:szCs w:val="20"/>
                <w:lang w:val="en-US"/>
              </w:rPr>
              <w:t xml:space="preserve">Benzoic acid and its salts; sorbic acid and its salts </w:t>
            </w:r>
          </w:p>
        </w:tc>
        <w:tc>
          <w:tcPr>
            <w:tcW w:w="2216" w:type="dxa"/>
          </w:tcPr>
          <w:p w:rsidR="00532AF6" w:rsidRPr="006545F1" w:rsidRDefault="00532AF6" w:rsidP="00DC2D54">
            <w:pPr>
              <w:pStyle w:val="Default"/>
              <w:rPr>
                <w:sz w:val="20"/>
                <w:szCs w:val="20"/>
              </w:rPr>
            </w:pPr>
            <w:r w:rsidRPr="006545F1">
              <w:rPr>
                <w:sz w:val="20"/>
                <w:szCs w:val="20"/>
              </w:rPr>
              <w:t xml:space="preserve">IFU Method No. 63 (1995) </w:t>
            </w:r>
          </w:p>
          <w:p w:rsidR="00532AF6" w:rsidRPr="006545F1" w:rsidRDefault="00532AF6" w:rsidP="00DC2D54">
            <w:pPr>
              <w:pStyle w:val="Default"/>
              <w:rPr>
                <w:sz w:val="20"/>
                <w:szCs w:val="20"/>
              </w:rPr>
            </w:pPr>
            <w:r w:rsidRPr="006545F1">
              <w:rPr>
                <w:sz w:val="20"/>
                <w:szCs w:val="20"/>
              </w:rPr>
              <w:t xml:space="preserve">NMKL 124 (1997) </w:t>
            </w:r>
          </w:p>
        </w:tc>
        <w:tc>
          <w:tcPr>
            <w:tcW w:w="2216" w:type="dxa"/>
          </w:tcPr>
          <w:p w:rsidR="00532AF6" w:rsidRPr="006545F1" w:rsidRDefault="00532AF6" w:rsidP="00DC2D54">
            <w:pPr>
              <w:pStyle w:val="Default"/>
              <w:rPr>
                <w:sz w:val="20"/>
                <w:szCs w:val="20"/>
                <w:lang w:val="en-US"/>
              </w:rPr>
            </w:pPr>
            <w:r w:rsidRPr="006545F1">
              <w:rPr>
                <w:sz w:val="20"/>
                <w:szCs w:val="20"/>
                <w:lang w:val="en-US"/>
              </w:rPr>
              <w:t xml:space="preserve">High performance liquid chromatography (HPLC) </w:t>
            </w:r>
          </w:p>
        </w:tc>
        <w:tc>
          <w:tcPr>
            <w:tcW w:w="2216" w:type="dxa"/>
          </w:tcPr>
          <w:p w:rsidR="00532AF6" w:rsidRPr="006545F1" w:rsidRDefault="00532AF6" w:rsidP="00DC2D54">
            <w:pPr>
              <w:pStyle w:val="Default"/>
              <w:rPr>
                <w:sz w:val="20"/>
                <w:szCs w:val="20"/>
              </w:rPr>
            </w:pPr>
            <w:r w:rsidRPr="006545F1">
              <w:rPr>
                <w:sz w:val="20"/>
                <w:szCs w:val="20"/>
              </w:rPr>
              <w:t xml:space="preserve">II </w:t>
            </w:r>
          </w:p>
        </w:tc>
        <w:tc>
          <w:tcPr>
            <w:tcW w:w="2216" w:type="dxa"/>
          </w:tcPr>
          <w:p w:rsidR="00532AF6" w:rsidRPr="006545F1" w:rsidRDefault="00532AF6" w:rsidP="00DC2D54">
            <w:pPr>
              <w:pStyle w:val="Default"/>
              <w:rPr>
                <w:sz w:val="20"/>
                <w:szCs w:val="20"/>
                <w:lang w:val="en-US"/>
              </w:rPr>
            </w:pPr>
            <w:r w:rsidRPr="006545F1">
              <w:rPr>
                <w:sz w:val="20"/>
                <w:szCs w:val="20"/>
                <w:lang w:val="en-US"/>
              </w:rPr>
              <w:t xml:space="preserve">IFU No 63 (Revised in 2005) </w:t>
            </w:r>
          </w:p>
          <w:p w:rsidR="00532AF6" w:rsidRPr="006545F1" w:rsidRDefault="00532AF6" w:rsidP="00DC2D54">
            <w:pPr>
              <w:pStyle w:val="Default"/>
              <w:rPr>
                <w:sz w:val="20"/>
                <w:szCs w:val="20"/>
                <w:lang w:val="en-US"/>
              </w:rPr>
            </w:pPr>
            <w:r w:rsidRPr="006545F1">
              <w:rPr>
                <w:sz w:val="20"/>
                <w:szCs w:val="20"/>
                <w:lang w:val="en-US"/>
              </w:rPr>
              <w:t xml:space="preserve">NMKL </w:t>
            </w:r>
            <w:r w:rsidRPr="006545F1">
              <w:rPr>
                <w:color w:val="FF0000"/>
                <w:sz w:val="20"/>
                <w:szCs w:val="20"/>
                <w:lang w:val="en-US"/>
              </w:rPr>
              <w:t xml:space="preserve">124 </w:t>
            </w:r>
            <w:r w:rsidRPr="006545F1">
              <w:rPr>
                <w:sz w:val="20"/>
                <w:szCs w:val="20"/>
                <w:lang w:val="en-US"/>
              </w:rPr>
              <w:t xml:space="preserve">(2007) </w:t>
            </w:r>
          </w:p>
        </w:tc>
      </w:tr>
      <w:tr w:rsidR="00532AF6" w:rsidRPr="006545F1" w:rsidTr="00DC2D54">
        <w:trPr>
          <w:trHeight w:val="206"/>
        </w:trPr>
        <w:tc>
          <w:tcPr>
            <w:tcW w:w="2216" w:type="dxa"/>
          </w:tcPr>
          <w:p w:rsidR="00532AF6" w:rsidRPr="006545F1" w:rsidRDefault="00532AF6" w:rsidP="00DC2D54">
            <w:pPr>
              <w:pStyle w:val="Default"/>
              <w:rPr>
                <w:sz w:val="20"/>
                <w:szCs w:val="20"/>
              </w:rPr>
            </w:pPr>
            <w:r w:rsidRPr="006545F1">
              <w:rPr>
                <w:sz w:val="20"/>
                <w:szCs w:val="20"/>
              </w:rPr>
              <w:t xml:space="preserve">Cocoa butter </w:t>
            </w:r>
          </w:p>
        </w:tc>
        <w:tc>
          <w:tcPr>
            <w:tcW w:w="2216" w:type="dxa"/>
          </w:tcPr>
          <w:p w:rsidR="00532AF6" w:rsidRPr="006545F1" w:rsidRDefault="00532AF6" w:rsidP="00DC2D54">
            <w:pPr>
              <w:pStyle w:val="Default"/>
              <w:rPr>
                <w:sz w:val="20"/>
                <w:szCs w:val="20"/>
              </w:rPr>
            </w:pPr>
            <w:r w:rsidRPr="006545F1">
              <w:rPr>
                <w:sz w:val="20"/>
                <w:szCs w:val="20"/>
              </w:rPr>
              <w:t xml:space="preserve">Unsaponifiable matter </w:t>
            </w:r>
          </w:p>
        </w:tc>
        <w:tc>
          <w:tcPr>
            <w:tcW w:w="2216" w:type="dxa"/>
          </w:tcPr>
          <w:p w:rsidR="00532AF6" w:rsidRPr="006545F1" w:rsidRDefault="00532AF6" w:rsidP="00DC2D54">
            <w:pPr>
              <w:pStyle w:val="Default"/>
              <w:rPr>
                <w:sz w:val="20"/>
                <w:szCs w:val="20"/>
              </w:rPr>
            </w:pPr>
            <w:r w:rsidRPr="006545F1">
              <w:rPr>
                <w:sz w:val="20"/>
                <w:szCs w:val="20"/>
              </w:rPr>
              <w:t xml:space="preserve">AOCS Ca 6b-53 (01) </w:t>
            </w:r>
          </w:p>
        </w:tc>
        <w:tc>
          <w:tcPr>
            <w:tcW w:w="2216" w:type="dxa"/>
          </w:tcPr>
          <w:p w:rsidR="00532AF6" w:rsidRPr="006545F1" w:rsidRDefault="00532AF6" w:rsidP="00DC2D54">
            <w:pPr>
              <w:pStyle w:val="Default"/>
              <w:rPr>
                <w:sz w:val="20"/>
                <w:szCs w:val="20"/>
                <w:lang w:val="en-US"/>
              </w:rPr>
            </w:pPr>
            <w:r w:rsidRPr="006545F1">
              <w:rPr>
                <w:sz w:val="20"/>
                <w:szCs w:val="20"/>
                <w:lang w:val="en-US"/>
              </w:rPr>
              <w:t xml:space="preserve">Titrimetry after extraction with diethyl ether </w:t>
            </w:r>
          </w:p>
        </w:tc>
        <w:tc>
          <w:tcPr>
            <w:tcW w:w="2216" w:type="dxa"/>
          </w:tcPr>
          <w:p w:rsidR="00532AF6" w:rsidRPr="006545F1" w:rsidRDefault="00532AF6" w:rsidP="00DC2D54">
            <w:pPr>
              <w:pStyle w:val="Default"/>
              <w:rPr>
                <w:sz w:val="20"/>
                <w:szCs w:val="20"/>
              </w:rPr>
            </w:pPr>
            <w:r w:rsidRPr="006545F1">
              <w:rPr>
                <w:sz w:val="20"/>
                <w:szCs w:val="20"/>
              </w:rPr>
              <w:t xml:space="preserve">I </w:t>
            </w:r>
          </w:p>
        </w:tc>
        <w:tc>
          <w:tcPr>
            <w:tcW w:w="2216" w:type="dxa"/>
          </w:tcPr>
          <w:p w:rsidR="00532AF6" w:rsidRPr="006545F1" w:rsidRDefault="00532AF6" w:rsidP="00DC2D54">
            <w:pPr>
              <w:pStyle w:val="Default"/>
              <w:rPr>
                <w:sz w:val="20"/>
                <w:szCs w:val="20"/>
              </w:rPr>
            </w:pPr>
            <w:r w:rsidRPr="006545F1">
              <w:rPr>
                <w:sz w:val="20"/>
                <w:szCs w:val="20"/>
              </w:rPr>
              <w:t xml:space="preserve">AOCS Ca 6b-53 de 2011 </w:t>
            </w:r>
          </w:p>
        </w:tc>
      </w:tr>
      <w:tr w:rsidR="00532AF6" w:rsidRPr="00DA1D98" w:rsidTr="00DC2D54">
        <w:trPr>
          <w:trHeight w:val="895"/>
        </w:trPr>
        <w:tc>
          <w:tcPr>
            <w:tcW w:w="2216" w:type="dxa"/>
          </w:tcPr>
          <w:p w:rsidR="00532AF6" w:rsidRPr="006545F1" w:rsidRDefault="00532AF6" w:rsidP="00DC2D54">
            <w:pPr>
              <w:pStyle w:val="Default"/>
              <w:rPr>
                <w:sz w:val="20"/>
                <w:szCs w:val="20"/>
              </w:rPr>
            </w:pPr>
            <w:r w:rsidRPr="006545F1">
              <w:rPr>
                <w:sz w:val="20"/>
                <w:szCs w:val="20"/>
              </w:rPr>
              <w:t xml:space="preserve">Fats and oils </w:t>
            </w:r>
          </w:p>
        </w:tc>
        <w:tc>
          <w:tcPr>
            <w:tcW w:w="2216" w:type="dxa"/>
          </w:tcPr>
          <w:p w:rsidR="00532AF6" w:rsidRPr="006545F1" w:rsidRDefault="00532AF6" w:rsidP="00DC2D54">
            <w:pPr>
              <w:pStyle w:val="Default"/>
              <w:rPr>
                <w:sz w:val="20"/>
                <w:szCs w:val="20"/>
              </w:rPr>
            </w:pPr>
            <w:r w:rsidRPr="006545F1">
              <w:rPr>
                <w:sz w:val="20"/>
                <w:szCs w:val="20"/>
              </w:rPr>
              <w:t xml:space="preserve">Vitamin D </w:t>
            </w:r>
          </w:p>
        </w:tc>
        <w:tc>
          <w:tcPr>
            <w:tcW w:w="2216" w:type="dxa"/>
          </w:tcPr>
          <w:p w:rsidR="00532AF6" w:rsidRPr="006545F1" w:rsidRDefault="00532AF6" w:rsidP="00DC2D54">
            <w:pPr>
              <w:pStyle w:val="Default"/>
              <w:rPr>
                <w:sz w:val="20"/>
                <w:szCs w:val="20"/>
              </w:rPr>
            </w:pPr>
            <w:r w:rsidRPr="006545F1">
              <w:rPr>
                <w:sz w:val="20"/>
                <w:szCs w:val="20"/>
              </w:rPr>
              <w:t xml:space="preserve">AOAC 936.14 </w:t>
            </w:r>
          </w:p>
        </w:tc>
        <w:tc>
          <w:tcPr>
            <w:tcW w:w="2216" w:type="dxa"/>
          </w:tcPr>
          <w:p w:rsidR="00532AF6" w:rsidRPr="006545F1" w:rsidRDefault="00532AF6" w:rsidP="00DC2D54">
            <w:pPr>
              <w:pStyle w:val="Default"/>
              <w:rPr>
                <w:sz w:val="20"/>
                <w:szCs w:val="20"/>
              </w:rPr>
            </w:pPr>
            <w:r w:rsidRPr="006545F1">
              <w:rPr>
                <w:sz w:val="20"/>
                <w:szCs w:val="20"/>
              </w:rPr>
              <w:t xml:space="preserve">Bioassay </w:t>
            </w:r>
          </w:p>
        </w:tc>
        <w:tc>
          <w:tcPr>
            <w:tcW w:w="2216" w:type="dxa"/>
          </w:tcPr>
          <w:p w:rsidR="00532AF6" w:rsidRPr="006545F1" w:rsidRDefault="00532AF6" w:rsidP="00DC2D54">
            <w:pPr>
              <w:pStyle w:val="Default"/>
              <w:rPr>
                <w:sz w:val="20"/>
                <w:szCs w:val="20"/>
              </w:rPr>
            </w:pPr>
            <w:r w:rsidRPr="006545F1">
              <w:rPr>
                <w:color w:val="FF0000"/>
                <w:sz w:val="20"/>
                <w:szCs w:val="20"/>
              </w:rPr>
              <w:t>II I</w:t>
            </w:r>
          </w:p>
        </w:tc>
        <w:tc>
          <w:tcPr>
            <w:tcW w:w="2216" w:type="dxa"/>
          </w:tcPr>
          <w:p w:rsidR="00532AF6" w:rsidRPr="006545F1" w:rsidRDefault="00532AF6" w:rsidP="00DC2D54">
            <w:pPr>
              <w:pStyle w:val="Default"/>
              <w:rPr>
                <w:sz w:val="20"/>
                <w:szCs w:val="20"/>
                <w:lang w:val="en-US"/>
              </w:rPr>
            </w:pPr>
            <w:r w:rsidRPr="006545F1">
              <w:rPr>
                <w:sz w:val="20"/>
                <w:szCs w:val="20"/>
                <w:lang w:val="en-US"/>
              </w:rPr>
              <w:t xml:space="preserve">This method is based on a rat bioassay originating from 1936. More appropriate methods are currently available and validated for margarine, e.g. EN 12821 (European Standard): Determination of vitamin D by HPLC. </w:t>
            </w:r>
          </w:p>
        </w:tc>
      </w:tr>
    </w:tbl>
    <w:p w:rsidR="00532AF6" w:rsidRPr="006545F1" w:rsidRDefault="00532AF6" w:rsidP="00532AF6">
      <w:pPr>
        <w:rPr>
          <w:rFonts w:ascii="Times New Roman" w:hAnsi="Times New Roman" w:cs="Times New Roman"/>
          <w:sz w:val="20"/>
          <w:szCs w:val="20"/>
          <w:lang w:val="en-US"/>
        </w:rPr>
      </w:pPr>
    </w:p>
    <w:p w:rsidR="00532AF6" w:rsidRPr="00DA1D98" w:rsidRDefault="00532AF6" w:rsidP="00532AF6">
      <w:pPr>
        <w:rPr>
          <w:rFonts w:ascii="Times New Roman" w:hAnsi="Times New Roman" w:cs="Times New Roman"/>
          <w:lang w:val="en-US"/>
        </w:rPr>
      </w:pPr>
      <w:r w:rsidRPr="00DA1D98">
        <w:rPr>
          <w:rFonts w:ascii="Times New Roman" w:hAnsi="Times New Roman" w:cs="Times New Roman"/>
          <w:sz w:val="20"/>
          <w:szCs w:val="20"/>
          <w:lang w:val="en-US"/>
        </w:rPr>
        <w:t xml:space="preserve">Table V – Methods of Analyses Replaced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2"/>
        <w:gridCol w:w="2142"/>
        <w:gridCol w:w="2142"/>
        <w:gridCol w:w="2142"/>
        <w:gridCol w:w="2142"/>
        <w:gridCol w:w="2142"/>
      </w:tblGrid>
      <w:tr w:rsidR="00532AF6" w:rsidRPr="006545F1" w:rsidTr="00DC2D54">
        <w:trPr>
          <w:trHeight w:val="88"/>
        </w:trPr>
        <w:tc>
          <w:tcPr>
            <w:tcW w:w="2142" w:type="dxa"/>
          </w:tcPr>
          <w:p w:rsidR="00532AF6" w:rsidRPr="006545F1" w:rsidRDefault="00532AF6" w:rsidP="00DC2D54">
            <w:pPr>
              <w:pStyle w:val="Default"/>
              <w:rPr>
                <w:sz w:val="20"/>
                <w:szCs w:val="20"/>
                <w:lang w:val="en-US"/>
              </w:rPr>
            </w:pPr>
            <w:r w:rsidRPr="006545F1">
              <w:rPr>
                <w:b/>
                <w:bCs/>
                <w:sz w:val="20"/>
                <w:szCs w:val="20"/>
                <w:lang w:val="en-US"/>
              </w:rPr>
              <w:t xml:space="preserve">COMMODITY </w:t>
            </w:r>
          </w:p>
        </w:tc>
        <w:tc>
          <w:tcPr>
            <w:tcW w:w="2142" w:type="dxa"/>
          </w:tcPr>
          <w:p w:rsidR="00532AF6" w:rsidRPr="006545F1" w:rsidRDefault="00532AF6" w:rsidP="00DC2D54">
            <w:pPr>
              <w:pStyle w:val="Default"/>
              <w:rPr>
                <w:sz w:val="20"/>
                <w:szCs w:val="20"/>
              </w:rPr>
            </w:pPr>
            <w:r w:rsidRPr="006545F1">
              <w:rPr>
                <w:b/>
                <w:bCs/>
                <w:sz w:val="20"/>
                <w:szCs w:val="20"/>
              </w:rPr>
              <w:t xml:space="preserve">PROVISION </w:t>
            </w:r>
          </w:p>
        </w:tc>
        <w:tc>
          <w:tcPr>
            <w:tcW w:w="2142" w:type="dxa"/>
          </w:tcPr>
          <w:p w:rsidR="00532AF6" w:rsidRPr="006545F1" w:rsidRDefault="00532AF6" w:rsidP="00DC2D54">
            <w:pPr>
              <w:pStyle w:val="Default"/>
              <w:rPr>
                <w:sz w:val="20"/>
                <w:szCs w:val="20"/>
              </w:rPr>
            </w:pPr>
            <w:r w:rsidRPr="006545F1">
              <w:rPr>
                <w:b/>
                <w:bCs/>
                <w:sz w:val="20"/>
                <w:szCs w:val="20"/>
              </w:rPr>
              <w:t xml:space="preserve">METHOD </w:t>
            </w:r>
          </w:p>
        </w:tc>
        <w:tc>
          <w:tcPr>
            <w:tcW w:w="2142" w:type="dxa"/>
          </w:tcPr>
          <w:p w:rsidR="00532AF6" w:rsidRPr="006545F1" w:rsidRDefault="00532AF6" w:rsidP="00DC2D54">
            <w:pPr>
              <w:pStyle w:val="Default"/>
              <w:rPr>
                <w:sz w:val="20"/>
                <w:szCs w:val="20"/>
              </w:rPr>
            </w:pPr>
            <w:r w:rsidRPr="006545F1">
              <w:rPr>
                <w:b/>
                <w:bCs/>
                <w:sz w:val="20"/>
                <w:szCs w:val="20"/>
              </w:rPr>
              <w:t xml:space="preserve">PRINCIPLE </w:t>
            </w:r>
          </w:p>
        </w:tc>
        <w:tc>
          <w:tcPr>
            <w:tcW w:w="2142" w:type="dxa"/>
          </w:tcPr>
          <w:p w:rsidR="00532AF6" w:rsidRPr="006545F1" w:rsidRDefault="00532AF6" w:rsidP="00DC2D54">
            <w:pPr>
              <w:pStyle w:val="Default"/>
              <w:rPr>
                <w:sz w:val="20"/>
                <w:szCs w:val="20"/>
              </w:rPr>
            </w:pPr>
            <w:r w:rsidRPr="006545F1">
              <w:rPr>
                <w:b/>
                <w:bCs/>
                <w:sz w:val="20"/>
                <w:szCs w:val="20"/>
              </w:rPr>
              <w:t xml:space="preserve">TYPE </w:t>
            </w:r>
          </w:p>
        </w:tc>
        <w:tc>
          <w:tcPr>
            <w:tcW w:w="2142" w:type="dxa"/>
          </w:tcPr>
          <w:p w:rsidR="00532AF6" w:rsidRPr="006545F1" w:rsidRDefault="00532AF6" w:rsidP="00DC2D54">
            <w:pPr>
              <w:pStyle w:val="Default"/>
              <w:rPr>
                <w:sz w:val="20"/>
                <w:szCs w:val="20"/>
              </w:rPr>
            </w:pPr>
            <w:r w:rsidRPr="006545F1">
              <w:rPr>
                <w:b/>
                <w:bCs/>
                <w:sz w:val="20"/>
                <w:szCs w:val="20"/>
              </w:rPr>
              <w:t xml:space="preserve">REMARKS </w:t>
            </w:r>
          </w:p>
        </w:tc>
      </w:tr>
      <w:tr w:rsidR="00532AF6" w:rsidRPr="00DA1D98" w:rsidTr="00DC2D54">
        <w:trPr>
          <w:trHeight w:val="246"/>
        </w:trPr>
        <w:tc>
          <w:tcPr>
            <w:tcW w:w="2142" w:type="dxa"/>
          </w:tcPr>
          <w:p w:rsidR="00532AF6" w:rsidRPr="006545F1" w:rsidRDefault="00532AF6" w:rsidP="00DC2D54">
            <w:pPr>
              <w:pStyle w:val="Default"/>
              <w:rPr>
                <w:sz w:val="20"/>
                <w:szCs w:val="20"/>
              </w:rPr>
            </w:pPr>
            <w:r w:rsidRPr="006545F1">
              <w:rPr>
                <w:sz w:val="20"/>
                <w:szCs w:val="20"/>
              </w:rPr>
              <w:t xml:space="preserve">Named Vegetable Oils </w:t>
            </w:r>
          </w:p>
        </w:tc>
        <w:tc>
          <w:tcPr>
            <w:tcW w:w="2142" w:type="dxa"/>
          </w:tcPr>
          <w:p w:rsidR="00532AF6" w:rsidRPr="006545F1" w:rsidRDefault="00532AF6" w:rsidP="00DC2D54">
            <w:pPr>
              <w:pStyle w:val="Default"/>
              <w:rPr>
                <w:sz w:val="20"/>
                <w:szCs w:val="20"/>
              </w:rPr>
            </w:pPr>
            <w:r w:rsidRPr="006545F1">
              <w:rPr>
                <w:sz w:val="20"/>
                <w:szCs w:val="20"/>
              </w:rPr>
              <w:t xml:space="preserve">Soap content </w:t>
            </w:r>
          </w:p>
        </w:tc>
        <w:tc>
          <w:tcPr>
            <w:tcW w:w="2142" w:type="dxa"/>
          </w:tcPr>
          <w:p w:rsidR="00532AF6" w:rsidRPr="006545F1" w:rsidRDefault="00532AF6" w:rsidP="00DC2D54">
            <w:pPr>
              <w:pStyle w:val="Default"/>
              <w:rPr>
                <w:sz w:val="20"/>
                <w:szCs w:val="20"/>
              </w:rPr>
            </w:pPr>
            <w:r w:rsidRPr="006545F1">
              <w:rPr>
                <w:sz w:val="20"/>
                <w:szCs w:val="20"/>
              </w:rPr>
              <w:t xml:space="preserve">- BS 684 Section 2.5; or </w:t>
            </w:r>
          </w:p>
        </w:tc>
        <w:tc>
          <w:tcPr>
            <w:tcW w:w="2142" w:type="dxa"/>
          </w:tcPr>
          <w:p w:rsidR="00532AF6" w:rsidRPr="006545F1" w:rsidRDefault="00532AF6" w:rsidP="00DC2D54">
            <w:pPr>
              <w:pStyle w:val="Default"/>
              <w:rPr>
                <w:sz w:val="20"/>
                <w:szCs w:val="20"/>
              </w:rPr>
            </w:pPr>
            <w:r w:rsidRPr="006545F1">
              <w:rPr>
                <w:sz w:val="20"/>
                <w:szCs w:val="20"/>
              </w:rPr>
              <w:t xml:space="preserve">Gravimetry </w:t>
            </w:r>
          </w:p>
        </w:tc>
        <w:tc>
          <w:tcPr>
            <w:tcW w:w="2142" w:type="dxa"/>
          </w:tcPr>
          <w:p w:rsidR="00532AF6" w:rsidRPr="006545F1" w:rsidRDefault="00532AF6" w:rsidP="00DC2D54">
            <w:pPr>
              <w:pStyle w:val="Default"/>
              <w:rPr>
                <w:sz w:val="20"/>
                <w:szCs w:val="20"/>
              </w:rPr>
            </w:pPr>
            <w:r w:rsidRPr="006545F1">
              <w:rPr>
                <w:sz w:val="20"/>
                <w:szCs w:val="20"/>
              </w:rPr>
              <w:t xml:space="preserve">I </w:t>
            </w:r>
          </w:p>
        </w:tc>
        <w:tc>
          <w:tcPr>
            <w:tcW w:w="2142" w:type="dxa"/>
          </w:tcPr>
          <w:p w:rsidR="00532AF6" w:rsidRPr="006545F1" w:rsidRDefault="00532AF6" w:rsidP="00DC2D54">
            <w:pPr>
              <w:pStyle w:val="Default"/>
              <w:rPr>
                <w:sz w:val="22"/>
                <w:szCs w:val="22"/>
                <w:lang w:val="en-US"/>
              </w:rPr>
            </w:pPr>
            <w:r w:rsidRPr="006545F1">
              <w:rPr>
                <w:sz w:val="20"/>
                <w:szCs w:val="20"/>
                <w:lang w:val="en-US"/>
              </w:rPr>
              <w:t xml:space="preserve">Replaced by </w:t>
            </w:r>
            <w:r w:rsidRPr="006545F1">
              <w:rPr>
                <w:sz w:val="22"/>
                <w:szCs w:val="22"/>
                <w:lang w:val="en-US"/>
              </w:rPr>
              <w:t xml:space="preserve">BS EN ISO 10539:2002 </w:t>
            </w:r>
          </w:p>
        </w:tc>
      </w:tr>
      <w:tr w:rsidR="00532AF6" w:rsidRPr="006545F1" w:rsidTr="00DC2D54">
        <w:trPr>
          <w:trHeight w:val="90"/>
        </w:trPr>
        <w:tc>
          <w:tcPr>
            <w:tcW w:w="2142" w:type="dxa"/>
          </w:tcPr>
          <w:p w:rsidR="00532AF6" w:rsidRPr="006545F1" w:rsidRDefault="00532AF6" w:rsidP="00DC2D54">
            <w:pPr>
              <w:pStyle w:val="Default"/>
              <w:rPr>
                <w:sz w:val="20"/>
                <w:szCs w:val="20"/>
              </w:rPr>
            </w:pPr>
            <w:r w:rsidRPr="006545F1">
              <w:rPr>
                <w:sz w:val="20"/>
                <w:szCs w:val="20"/>
              </w:rPr>
              <w:t xml:space="preserve">Fermented milks </w:t>
            </w:r>
          </w:p>
        </w:tc>
        <w:tc>
          <w:tcPr>
            <w:tcW w:w="2142" w:type="dxa"/>
          </w:tcPr>
          <w:p w:rsidR="00532AF6" w:rsidRPr="006545F1" w:rsidRDefault="00532AF6" w:rsidP="00DC2D54">
            <w:pPr>
              <w:pStyle w:val="Default"/>
              <w:rPr>
                <w:sz w:val="20"/>
                <w:szCs w:val="20"/>
              </w:rPr>
            </w:pPr>
            <w:r w:rsidRPr="006545F1">
              <w:rPr>
                <w:sz w:val="20"/>
                <w:szCs w:val="20"/>
              </w:rPr>
              <w:t xml:space="preserve">Milk fat </w:t>
            </w:r>
          </w:p>
        </w:tc>
        <w:tc>
          <w:tcPr>
            <w:tcW w:w="2142" w:type="dxa"/>
          </w:tcPr>
          <w:p w:rsidR="00532AF6" w:rsidRPr="006545F1" w:rsidRDefault="00532AF6" w:rsidP="00DC2D54">
            <w:pPr>
              <w:pStyle w:val="Default"/>
              <w:rPr>
                <w:sz w:val="20"/>
                <w:szCs w:val="20"/>
              </w:rPr>
            </w:pPr>
            <w:r w:rsidRPr="006545F1">
              <w:rPr>
                <w:sz w:val="20"/>
                <w:szCs w:val="20"/>
              </w:rPr>
              <w:t xml:space="preserve">AOAC 905.02 </w:t>
            </w:r>
          </w:p>
        </w:tc>
        <w:tc>
          <w:tcPr>
            <w:tcW w:w="2142" w:type="dxa"/>
          </w:tcPr>
          <w:p w:rsidR="00532AF6" w:rsidRPr="006545F1" w:rsidRDefault="00532AF6" w:rsidP="00DC2D54">
            <w:pPr>
              <w:pStyle w:val="Default"/>
              <w:rPr>
                <w:sz w:val="20"/>
                <w:szCs w:val="20"/>
              </w:rPr>
            </w:pPr>
            <w:r w:rsidRPr="006545F1">
              <w:rPr>
                <w:sz w:val="20"/>
                <w:szCs w:val="20"/>
              </w:rPr>
              <w:t xml:space="preserve">Gravimetry </w:t>
            </w:r>
          </w:p>
        </w:tc>
        <w:tc>
          <w:tcPr>
            <w:tcW w:w="2142" w:type="dxa"/>
          </w:tcPr>
          <w:p w:rsidR="00532AF6" w:rsidRPr="006545F1" w:rsidRDefault="00532AF6" w:rsidP="00DC2D54">
            <w:pPr>
              <w:pStyle w:val="Default"/>
              <w:rPr>
                <w:sz w:val="20"/>
                <w:szCs w:val="20"/>
              </w:rPr>
            </w:pPr>
            <w:r w:rsidRPr="006545F1">
              <w:rPr>
                <w:sz w:val="20"/>
                <w:szCs w:val="20"/>
              </w:rPr>
              <w:t xml:space="preserve">I </w:t>
            </w:r>
          </w:p>
        </w:tc>
        <w:tc>
          <w:tcPr>
            <w:tcW w:w="2142" w:type="dxa"/>
          </w:tcPr>
          <w:p w:rsidR="00532AF6" w:rsidRPr="006545F1" w:rsidRDefault="00532AF6" w:rsidP="00DC2D54">
            <w:pPr>
              <w:pStyle w:val="Default"/>
              <w:rPr>
                <w:sz w:val="20"/>
                <w:szCs w:val="20"/>
              </w:rPr>
            </w:pPr>
            <w:r w:rsidRPr="006545F1">
              <w:rPr>
                <w:sz w:val="20"/>
                <w:szCs w:val="20"/>
              </w:rPr>
              <w:t xml:space="preserve">Replaced byAOAC 989.05 </w:t>
            </w:r>
          </w:p>
        </w:tc>
      </w:tr>
    </w:tbl>
    <w:p w:rsidR="00532AF6" w:rsidRPr="006545F1" w:rsidRDefault="00532AF6" w:rsidP="00532AF6">
      <w:pPr>
        <w:rPr>
          <w:rFonts w:ascii="Times New Roman" w:hAnsi="Times New Roman" w:cs="Times New Roman"/>
          <w:lang w:val="en-US"/>
        </w:rPr>
      </w:pPr>
    </w:p>
    <w:p w:rsidR="00532AF6" w:rsidRPr="006545F1" w:rsidRDefault="00532AF6" w:rsidP="00532AF6">
      <w:pPr>
        <w:rPr>
          <w:rFonts w:ascii="Times New Roman" w:hAnsi="Times New Roman" w:cs="Times New Roman"/>
          <w:lang w:val="en-US"/>
        </w:rPr>
      </w:pPr>
      <w:r w:rsidRPr="006545F1">
        <w:rPr>
          <w:rFonts w:ascii="Times New Roman" w:hAnsi="Times New Roman" w:cs="Times New Roman"/>
          <w:sz w:val="20"/>
          <w:szCs w:val="20"/>
          <w:lang w:val="en-US"/>
        </w:rPr>
        <w:t>Table VI – Description of Methods of Analyses are not unique</w:t>
      </w:r>
    </w:p>
    <w:tbl>
      <w:tblPr>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5"/>
        <w:gridCol w:w="2205"/>
        <w:gridCol w:w="2205"/>
        <w:gridCol w:w="2205"/>
        <w:gridCol w:w="1069"/>
        <w:gridCol w:w="3341"/>
      </w:tblGrid>
      <w:tr w:rsidR="00532AF6" w:rsidRPr="006545F1" w:rsidTr="00DC2D54">
        <w:trPr>
          <w:trHeight w:val="88"/>
        </w:trPr>
        <w:tc>
          <w:tcPr>
            <w:tcW w:w="2205" w:type="dxa"/>
          </w:tcPr>
          <w:p w:rsidR="00532AF6" w:rsidRPr="006545F1" w:rsidRDefault="00532AF6" w:rsidP="00DC2D54">
            <w:pPr>
              <w:pStyle w:val="Default"/>
              <w:rPr>
                <w:sz w:val="20"/>
                <w:szCs w:val="20"/>
                <w:lang w:val="en-US"/>
              </w:rPr>
            </w:pPr>
            <w:r w:rsidRPr="006545F1">
              <w:rPr>
                <w:b/>
                <w:bCs/>
                <w:sz w:val="20"/>
                <w:szCs w:val="20"/>
                <w:lang w:val="en-US"/>
              </w:rPr>
              <w:t xml:space="preserve">COMMODITY </w:t>
            </w:r>
          </w:p>
        </w:tc>
        <w:tc>
          <w:tcPr>
            <w:tcW w:w="2205" w:type="dxa"/>
          </w:tcPr>
          <w:p w:rsidR="00532AF6" w:rsidRPr="006545F1" w:rsidRDefault="00532AF6" w:rsidP="00DC2D54">
            <w:pPr>
              <w:pStyle w:val="Default"/>
              <w:rPr>
                <w:sz w:val="20"/>
                <w:szCs w:val="20"/>
              </w:rPr>
            </w:pPr>
            <w:r w:rsidRPr="006545F1">
              <w:rPr>
                <w:b/>
                <w:bCs/>
                <w:sz w:val="20"/>
                <w:szCs w:val="20"/>
              </w:rPr>
              <w:t xml:space="preserve">PROVISION </w:t>
            </w:r>
          </w:p>
        </w:tc>
        <w:tc>
          <w:tcPr>
            <w:tcW w:w="2205" w:type="dxa"/>
          </w:tcPr>
          <w:p w:rsidR="00532AF6" w:rsidRPr="006545F1" w:rsidRDefault="00532AF6" w:rsidP="00DC2D54">
            <w:pPr>
              <w:pStyle w:val="Default"/>
              <w:rPr>
                <w:sz w:val="20"/>
                <w:szCs w:val="20"/>
              </w:rPr>
            </w:pPr>
            <w:r w:rsidRPr="006545F1">
              <w:rPr>
                <w:b/>
                <w:bCs/>
                <w:sz w:val="20"/>
                <w:szCs w:val="20"/>
              </w:rPr>
              <w:t xml:space="preserve">METHOD </w:t>
            </w:r>
          </w:p>
        </w:tc>
        <w:tc>
          <w:tcPr>
            <w:tcW w:w="2205" w:type="dxa"/>
          </w:tcPr>
          <w:p w:rsidR="00532AF6" w:rsidRPr="006545F1" w:rsidRDefault="00532AF6" w:rsidP="00DC2D54">
            <w:pPr>
              <w:pStyle w:val="Default"/>
              <w:rPr>
                <w:sz w:val="20"/>
                <w:szCs w:val="20"/>
              </w:rPr>
            </w:pPr>
            <w:r w:rsidRPr="006545F1">
              <w:rPr>
                <w:b/>
                <w:bCs/>
                <w:sz w:val="20"/>
                <w:szCs w:val="20"/>
              </w:rPr>
              <w:t xml:space="preserve">PRINCIPLE </w:t>
            </w:r>
          </w:p>
        </w:tc>
        <w:tc>
          <w:tcPr>
            <w:tcW w:w="1069" w:type="dxa"/>
          </w:tcPr>
          <w:p w:rsidR="00532AF6" w:rsidRPr="006545F1" w:rsidRDefault="00532AF6" w:rsidP="00DC2D54">
            <w:pPr>
              <w:pStyle w:val="Default"/>
              <w:rPr>
                <w:sz w:val="20"/>
                <w:szCs w:val="20"/>
              </w:rPr>
            </w:pPr>
            <w:r w:rsidRPr="006545F1">
              <w:rPr>
                <w:b/>
                <w:bCs/>
                <w:sz w:val="20"/>
                <w:szCs w:val="20"/>
              </w:rPr>
              <w:t xml:space="preserve">TYPE </w:t>
            </w:r>
          </w:p>
        </w:tc>
        <w:tc>
          <w:tcPr>
            <w:tcW w:w="3341" w:type="dxa"/>
          </w:tcPr>
          <w:p w:rsidR="00532AF6" w:rsidRPr="006545F1" w:rsidRDefault="00532AF6" w:rsidP="00DC2D54">
            <w:pPr>
              <w:pStyle w:val="Default"/>
              <w:rPr>
                <w:sz w:val="20"/>
                <w:szCs w:val="20"/>
              </w:rPr>
            </w:pPr>
            <w:r w:rsidRPr="006545F1">
              <w:rPr>
                <w:b/>
                <w:bCs/>
                <w:sz w:val="20"/>
                <w:szCs w:val="20"/>
              </w:rPr>
              <w:t xml:space="preserve">REMARKS </w:t>
            </w:r>
          </w:p>
        </w:tc>
      </w:tr>
      <w:tr w:rsidR="00532AF6" w:rsidRPr="006545F1" w:rsidTr="00DC2D54">
        <w:trPr>
          <w:trHeight w:val="918"/>
        </w:trPr>
        <w:tc>
          <w:tcPr>
            <w:tcW w:w="2205" w:type="dxa"/>
          </w:tcPr>
          <w:p w:rsidR="00532AF6" w:rsidRPr="006545F1" w:rsidRDefault="00532AF6" w:rsidP="00DC2D54">
            <w:pPr>
              <w:pStyle w:val="Default"/>
              <w:rPr>
                <w:sz w:val="20"/>
                <w:szCs w:val="20"/>
              </w:rPr>
            </w:pPr>
            <w:r w:rsidRPr="006545F1">
              <w:rPr>
                <w:sz w:val="20"/>
                <w:szCs w:val="20"/>
              </w:rPr>
              <w:t xml:space="preserve">Edible casein products </w:t>
            </w:r>
          </w:p>
        </w:tc>
        <w:tc>
          <w:tcPr>
            <w:tcW w:w="2205" w:type="dxa"/>
          </w:tcPr>
          <w:p w:rsidR="00532AF6" w:rsidRPr="006545F1" w:rsidRDefault="00532AF6" w:rsidP="00DC2D54">
            <w:pPr>
              <w:pStyle w:val="Default"/>
              <w:rPr>
                <w:sz w:val="20"/>
                <w:szCs w:val="20"/>
              </w:rPr>
            </w:pPr>
            <w:r w:rsidRPr="006545F1">
              <w:rPr>
                <w:sz w:val="20"/>
                <w:szCs w:val="20"/>
              </w:rPr>
              <w:t xml:space="preserve">Casein in protein </w:t>
            </w:r>
          </w:p>
        </w:tc>
        <w:tc>
          <w:tcPr>
            <w:tcW w:w="2205" w:type="dxa"/>
          </w:tcPr>
          <w:p w:rsidR="00532AF6" w:rsidRPr="006545F1" w:rsidRDefault="00532AF6" w:rsidP="00DC2D54">
            <w:pPr>
              <w:pStyle w:val="Default"/>
              <w:rPr>
                <w:sz w:val="20"/>
                <w:szCs w:val="20"/>
              </w:rPr>
            </w:pPr>
            <w:r w:rsidRPr="006545F1">
              <w:rPr>
                <w:sz w:val="20"/>
                <w:szCs w:val="20"/>
              </w:rPr>
              <w:t xml:space="preserve">IDF Standard 29:1964 </w:t>
            </w:r>
          </w:p>
        </w:tc>
        <w:tc>
          <w:tcPr>
            <w:tcW w:w="2205" w:type="dxa"/>
          </w:tcPr>
          <w:p w:rsidR="00532AF6" w:rsidRPr="006545F1" w:rsidRDefault="00532AF6" w:rsidP="00DC2D54">
            <w:pPr>
              <w:pStyle w:val="Default"/>
              <w:rPr>
                <w:sz w:val="20"/>
                <w:szCs w:val="20"/>
              </w:rPr>
            </w:pPr>
            <w:r w:rsidRPr="006545F1">
              <w:rPr>
                <w:sz w:val="20"/>
                <w:szCs w:val="20"/>
              </w:rPr>
              <w:t xml:space="preserve">Titrimetry, Kjeldahl </w:t>
            </w:r>
          </w:p>
        </w:tc>
        <w:tc>
          <w:tcPr>
            <w:tcW w:w="1069" w:type="dxa"/>
          </w:tcPr>
          <w:p w:rsidR="00532AF6" w:rsidRPr="006545F1" w:rsidRDefault="00532AF6" w:rsidP="00DC2D54">
            <w:pPr>
              <w:pStyle w:val="Default"/>
              <w:rPr>
                <w:sz w:val="20"/>
                <w:szCs w:val="20"/>
              </w:rPr>
            </w:pPr>
            <w:r w:rsidRPr="006545F1">
              <w:rPr>
                <w:sz w:val="20"/>
                <w:szCs w:val="20"/>
              </w:rPr>
              <w:t xml:space="preserve">I </w:t>
            </w:r>
          </w:p>
        </w:tc>
        <w:tc>
          <w:tcPr>
            <w:tcW w:w="3341" w:type="dxa"/>
          </w:tcPr>
          <w:p w:rsidR="00532AF6" w:rsidRPr="006545F1" w:rsidRDefault="00532AF6" w:rsidP="00DC2D54">
            <w:pPr>
              <w:pStyle w:val="Default"/>
              <w:rPr>
                <w:sz w:val="20"/>
                <w:szCs w:val="20"/>
                <w:lang w:val="en-US"/>
              </w:rPr>
            </w:pPr>
            <w:r w:rsidRPr="006545F1">
              <w:rPr>
                <w:sz w:val="22"/>
                <w:szCs w:val="22"/>
                <w:lang w:val="en-US"/>
              </w:rPr>
              <w:t xml:space="preserve">ISO 17997-2|IDF 029-2:2004 </w:t>
            </w:r>
            <w:r w:rsidRPr="006545F1">
              <w:rPr>
                <w:sz w:val="20"/>
                <w:szCs w:val="20"/>
                <w:lang w:val="en-US"/>
              </w:rPr>
              <w:t xml:space="preserve">- Milk - Determination of the casein-nitrogen content - Part 2: Direct method </w:t>
            </w:r>
          </w:p>
          <w:p w:rsidR="00532AF6" w:rsidRPr="006545F1" w:rsidRDefault="00532AF6" w:rsidP="00DC2D54">
            <w:pPr>
              <w:pStyle w:val="Default"/>
              <w:rPr>
                <w:sz w:val="20"/>
                <w:szCs w:val="20"/>
                <w:lang w:val="en-US"/>
              </w:rPr>
            </w:pPr>
            <w:r w:rsidRPr="006545F1">
              <w:rPr>
                <w:sz w:val="22"/>
                <w:szCs w:val="22"/>
                <w:lang w:val="en-US"/>
              </w:rPr>
              <w:t xml:space="preserve">ISO 17997-1|IDF 029-1:2004 </w:t>
            </w:r>
            <w:r w:rsidRPr="006545F1">
              <w:rPr>
                <w:sz w:val="20"/>
                <w:szCs w:val="20"/>
                <w:lang w:val="en-US"/>
              </w:rPr>
              <w:t xml:space="preserve">- Milk - Determination of the casein-nitrogen content - Part 1: Indirect method (Reference method) </w:t>
            </w:r>
          </w:p>
          <w:p w:rsidR="00532AF6" w:rsidRPr="006545F1" w:rsidRDefault="00532AF6" w:rsidP="00DC2D54">
            <w:pPr>
              <w:pStyle w:val="Default"/>
              <w:rPr>
                <w:sz w:val="20"/>
                <w:szCs w:val="20"/>
              </w:rPr>
            </w:pPr>
            <w:r w:rsidRPr="006545F1">
              <w:rPr>
                <w:sz w:val="20"/>
                <w:szCs w:val="20"/>
                <w:lang w:val="en-US"/>
              </w:rPr>
              <w:t xml:space="preserve">IDF 092:1979 is to determine protein contend. </w:t>
            </w:r>
            <w:r w:rsidRPr="006545F1">
              <w:rPr>
                <w:sz w:val="20"/>
                <w:szCs w:val="20"/>
              </w:rPr>
              <w:t xml:space="preserve">IDF 29 (1964) was not found </w:t>
            </w:r>
          </w:p>
        </w:tc>
      </w:tr>
    </w:tbl>
    <w:p w:rsidR="00532AF6" w:rsidRDefault="00532AF6" w:rsidP="00532AF6">
      <w:pPr>
        <w:rPr>
          <w:rFonts w:ascii="Times New Roman" w:hAnsi="Times New Roman" w:cs="Times New Roman"/>
          <w:sz w:val="20"/>
          <w:szCs w:val="20"/>
          <w:lang w:val="en-US"/>
        </w:rPr>
      </w:pPr>
    </w:p>
    <w:p w:rsidR="006545F1" w:rsidRDefault="006545F1" w:rsidP="00532AF6">
      <w:pPr>
        <w:rPr>
          <w:rFonts w:ascii="Times New Roman" w:hAnsi="Times New Roman" w:cs="Times New Roman"/>
          <w:sz w:val="20"/>
          <w:szCs w:val="20"/>
          <w:lang w:val="en-US"/>
        </w:rPr>
      </w:pPr>
    </w:p>
    <w:p w:rsidR="006545F1" w:rsidRDefault="006545F1" w:rsidP="00532AF6">
      <w:pPr>
        <w:rPr>
          <w:rFonts w:ascii="Times New Roman" w:hAnsi="Times New Roman" w:cs="Times New Roman"/>
          <w:sz w:val="20"/>
          <w:szCs w:val="20"/>
          <w:lang w:val="en-US"/>
        </w:rPr>
      </w:pPr>
    </w:p>
    <w:p w:rsidR="006545F1" w:rsidRDefault="006545F1" w:rsidP="00532AF6">
      <w:pPr>
        <w:rPr>
          <w:rFonts w:ascii="Times New Roman" w:hAnsi="Times New Roman" w:cs="Times New Roman"/>
          <w:sz w:val="20"/>
          <w:szCs w:val="20"/>
          <w:lang w:val="en-US"/>
        </w:rPr>
      </w:pPr>
    </w:p>
    <w:p w:rsidR="006545F1" w:rsidRDefault="006545F1" w:rsidP="00532AF6">
      <w:pPr>
        <w:rPr>
          <w:rFonts w:ascii="Times New Roman" w:hAnsi="Times New Roman" w:cs="Times New Roman"/>
          <w:sz w:val="20"/>
          <w:szCs w:val="20"/>
          <w:lang w:val="en-US"/>
        </w:rPr>
      </w:pPr>
    </w:p>
    <w:p w:rsidR="006545F1" w:rsidRPr="006545F1" w:rsidRDefault="006545F1" w:rsidP="00532AF6">
      <w:pPr>
        <w:rPr>
          <w:rFonts w:ascii="Times New Roman" w:hAnsi="Times New Roman" w:cs="Times New Roman"/>
          <w:sz w:val="20"/>
          <w:szCs w:val="20"/>
          <w:lang w:val="en-US"/>
        </w:rPr>
      </w:pPr>
    </w:p>
    <w:p w:rsidR="00532AF6" w:rsidRPr="006545F1" w:rsidRDefault="00532AF6" w:rsidP="00532AF6">
      <w:pPr>
        <w:rPr>
          <w:rFonts w:ascii="Times New Roman" w:hAnsi="Times New Roman" w:cs="Times New Roman"/>
          <w:lang w:val="en-US"/>
        </w:rPr>
      </w:pPr>
      <w:r w:rsidRPr="006545F1">
        <w:rPr>
          <w:rFonts w:ascii="Times New Roman" w:hAnsi="Times New Roman" w:cs="Times New Roman"/>
          <w:sz w:val="20"/>
          <w:szCs w:val="20"/>
          <w:lang w:val="en-US"/>
        </w:rPr>
        <w:lastRenderedPageBreak/>
        <w:t xml:space="preserve">Table VII –Methods of Analyses are mentioned only in Commodities Standards </w:t>
      </w:r>
    </w:p>
    <w:tbl>
      <w:tblPr>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2229"/>
        <w:gridCol w:w="40"/>
        <w:gridCol w:w="2126"/>
        <w:gridCol w:w="63"/>
        <w:gridCol w:w="2230"/>
        <w:gridCol w:w="2229"/>
        <w:gridCol w:w="14"/>
        <w:gridCol w:w="2215"/>
      </w:tblGrid>
      <w:tr w:rsidR="00532AF6" w:rsidRPr="006545F1" w:rsidTr="00DC2D54">
        <w:trPr>
          <w:trHeight w:val="88"/>
        </w:trPr>
        <w:tc>
          <w:tcPr>
            <w:tcW w:w="2234" w:type="dxa"/>
          </w:tcPr>
          <w:p w:rsidR="00532AF6" w:rsidRPr="006545F1" w:rsidRDefault="00532AF6" w:rsidP="00DC2D54">
            <w:pPr>
              <w:pStyle w:val="Default"/>
              <w:rPr>
                <w:sz w:val="20"/>
                <w:szCs w:val="20"/>
                <w:lang w:val="en-US"/>
              </w:rPr>
            </w:pPr>
            <w:r w:rsidRPr="006545F1">
              <w:rPr>
                <w:b/>
                <w:bCs/>
                <w:sz w:val="20"/>
                <w:szCs w:val="20"/>
                <w:lang w:val="en-US"/>
              </w:rPr>
              <w:t xml:space="preserve">COMMODITY </w:t>
            </w:r>
          </w:p>
        </w:tc>
        <w:tc>
          <w:tcPr>
            <w:tcW w:w="2229" w:type="dxa"/>
          </w:tcPr>
          <w:p w:rsidR="00532AF6" w:rsidRPr="006545F1" w:rsidRDefault="00532AF6" w:rsidP="00DC2D54">
            <w:pPr>
              <w:pStyle w:val="Default"/>
              <w:rPr>
                <w:sz w:val="20"/>
                <w:szCs w:val="20"/>
              </w:rPr>
            </w:pPr>
            <w:r w:rsidRPr="006545F1">
              <w:rPr>
                <w:b/>
                <w:bCs/>
                <w:sz w:val="20"/>
                <w:szCs w:val="20"/>
              </w:rPr>
              <w:t xml:space="preserve">PROVISION </w:t>
            </w:r>
          </w:p>
        </w:tc>
        <w:tc>
          <w:tcPr>
            <w:tcW w:w="2229" w:type="dxa"/>
            <w:gridSpan w:val="3"/>
          </w:tcPr>
          <w:p w:rsidR="00532AF6" w:rsidRPr="006545F1" w:rsidRDefault="00532AF6" w:rsidP="00DC2D54">
            <w:pPr>
              <w:pStyle w:val="Default"/>
              <w:rPr>
                <w:sz w:val="20"/>
                <w:szCs w:val="20"/>
              </w:rPr>
            </w:pPr>
            <w:r w:rsidRPr="006545F1">
              <w:rPr>
                <w:b/>
                <w:bCs/>
                <w:sz w:val="20"/>
                <w:szCs w:val="20"/>
              </w:rPr>
              <w:t xml:space="preserve">METHOD </w:t>
            </w:r>
          </w:p>
        </w:tc>
        <w:tc>
          <w:tcPr>
            <w:tcW w:w="2230" w:type="dxa"/>
          </w:tcPr>
          <w:p w:rsidR="00532AF6" w:rsidRPr="006545F1" w:rsidRDefault="00532AF6" w:rsidP="00DC2D54">
            <w:pPr>
              <w:pStyle w:val="Default"/>
              <w:rPr>
                <w:sz w:val="20"/>
                <w:szCs w:val="20"/>
              </w:rPr>
            </w:pPr>
            <w:r w:rsidRPr="006545F1">
              <w:rPr>
                <w:b/>
                <w:bCs/>
                <w:sz w:val="20"/>
                <w:szCs w:val="20"/>
              </w:rPr>
              <w:t xml:space="preserve">PRINCIPLE </w:t>
            </w:r>
          </w:p>
        </w:tc>
        <w:tc>
          <w:tcPr>
            <w:tcW w:w="2229" w:type="dxa"/>
          </w:tcPr>
          <w:p w:rsidR="00532AF6" w:rsidRPr="006545F1" w:rsidRDefault="00532AF6" w:rsidP="00DC2D54">
            <w:pPr>
              <w:pStyle w:val="Default"/>
              <w:rPr>
                <w:sz w:val="20"/>
                <w:szCs w:val="20"/>
              </w:rPr>
            </w:pPr>
            <w:r w:rsidRPr="006545F1">
              <w:rPr>
                <w:b/>
                <w:bCs/>
                <w:sz w:val="20"/>
                <w:szCs w:val="20"/>
              </w:rPr>
              <w:t xml:space="preserve">TYPE </w:t>
            </w:r>
          </w:p>
        </w:tc>
        <w:tc>
          <w:tcPr>
            <w:tcW w:w="2229" w:type="dxa"/>
            <w:gridSpan w:val="2"/>
          </w:tcPr>
          <w:p w:rsidR="00532AF6" w:rsidRPr="006545F1" w:rsidRDefault="00532AF6" w:rsidP="00DC2D54">
            <w:pPr>
              <w:pStyle w:val="Default"/>
              <w:rPr>
                <w:sz w:val="20"/>
                <w:szCs w:val="20"/>
              </w:rPr>
            </w:pPr>
            <w:r w:rsidRPr="006545F1">
              <w:rPr>
                <w:b/>
                <w:bCs/>
                <w:sz w:val="20"/>
                <w:szCs w:val="20"/>
              </w:rPr>
              <w:t xml:space="preserve">REMARKS </w:t>
            </w:r>
          </w:p>
        </w:tc>
      </w:tr>
      <w:tr w:rsidR="00532AF6" w:rsidRPr="00DA1D98" w:rsidTr="00DC2D54">
        <w:trPr>
          <w:trHeight w:val="358"/>
        </w:trPr>
        <w:tc>
          <w:tcPr>
            <w:tcW w:w="2234" w:type="dxa"/>
          </w:tcPr>
          <w:p w:rsidR="00532AF6" w:rsidRPr="006545F1" w:rsidRDefault="00532AF6" w:rsidP="00DC2D54">
            <w:pPr>
              <w:pStyle w:val="Default"/>
              <w:rPr>
                <w:sz w:val="20"/>
                <w:szCs w:val="20"/>
              </w:rPr>
            </w:pPr>
            <w:r w:rsidRPr="006545F1">
              <w:rPr>
                <w:sz w:val="20"/>
                <w:szCs w:val="20"/>
              </w:rPr>
              <w:t xml:space="preserve">Honey </w:t>
            </w:r>
          </w:p>
        </w:tc>
        <w:tc>
          <w:tcPr>
            <w:tcW w:w="2229" w:type="dxa"/>
          </w:tcPr>
          <w:p w:rsidR="00532AF6" w:rsidRPr="006545F1" w:rsidRDefault="00532AF6" w:rsidP="00DC2D54">
            <w:pPr>
              <w:pStyle w:val="Default"/>
              <w:rPr>
                <w:sz w:val="20"/>
                <w:szCs w:val="20"/>
                <w:lang w:val="en-US"/>
              </w:rPr>
            </w:pPr>
            <w:r w:rsidRPr="006545F1">
              <w:rPr>
                <w:sz w:val="20"/>
                <w:szCs w:val="20"/>
                <w:lang w:val="en-US"/>
              </w:rPr>
              <w:t xml:space="preserve">Determination of Sugars added to honey (Authenticity) </w:t>
            </w:r>
          </w:p>
        </w:tc>
        <w:tc>
          <w:tcPr>
            <w:tcW w:w="2229" w:type="dxa"/>
            <w:gridSpan w:val="3"/>
          </w:tcPr>
          <w:p w:rsidR="00532AF6" w:rsidRPr="006545F1" w:rsidRDefault="00532AF6" w:rsidP="00DC2D54">
            <w:pPr>
              <w:pStyle w:val="Default"/>
              <w:rPr>
                <w:sz w:val="20"/>
                <w:szCs w:val="20"/>
                <w:lang w:val="en-US"/>
              </w:rPr>
            </w:pPr>
            <w:r w:rsidRPr="006545F1">
              <w:rPr>
                <w:sz w:val="20"/>
                <w:szCs w:val="20"/>
                <w:lang w:val="en-US"/>
              </w:rPr>
              <w:t xml:space="preserve">AOAC 977.20 for sugar profile, AOAC 991.41 internal standard for SCIRA (stable carbon isotope ratio analysis). </w:t>
            </w:r>
          </w:p>
        </w:tc>
        <w:tc>
          <w:tcPr>
            <w:tcW w:w="2230" w:type="dxa"/>
          </w:tcPr>
          <w:p w:rsidR="00532AF6" w:rsidRPr="006545F1" w:rsidRDefault="00532AF6" w:rsidP="00DC2D54">
            <w:pPr>
              <w:pStyle w:val="Default"/>
              <w:rPr>
                <w:sz w:val="20"/>
                <w:szCs w:val="20"/>
              </w:rPr>
            </w:pPr>
            <w:r w:rsidRPr="006545F1">
              <w:rPr>
                <w:sz w:val="20"/>
                <w:szCs w:val="20"/>
              </w:rPr>
              <w:t xml:space="preserve">Liquid Chromatography </w:t>
            </w:r>
          </w:p>
          <w:p w:rsidR="00532AF6" w:rsidRPr="006545F1" w:rsidRDefault="00532AF6" w:rsidP="00DC2D54">
            <w:pPr>
              <w:pStyle w:val="Default"/>
              <w:rPr>
                <w:sz w:val="20"/>
                <w:szCs w:val="20"/>
              </w:rPr>
            </w:pPr>
            <w:r w:rsidRPr="006545F1">
              <w:rPr>
                <w:sz w:val="20"/>
                <w:szCs w:val="20"/>
              </w:rPr>
              <w:t xml:space="preserve">Carbon isotope ratio mass spectrometry </w:t>
            </w:r>
          </w:p>
        </w:tc>
        <w:tc>
          <w:tcPr>
            <w:tcW w:w="2229" w:type="dxa"/>
          </w:tcPr>
          <w:p w:rsidR="00532AF6" w:rsidRPr="006545F1" w:rsidRDefault="00532AF6" w:rsidP="00DC2D54">
            <w:pPr>
              <w:pStyle w:val="Default"/>
              <w:rPr>
                <w:sz w:val="22"/>
                <w:szCs w:val="22"/>
              </w:rPr>
            </w:pPr>
            <w:r w:rsidRPr="006545F1">
              <w:rPr>
                <w:sz w:val="22"/>
                <w:szCs w:val="22"/>
              </w:rPr>
              <w:t xml:space="preserve">I </w:t>
            </w:r>
          </w:p>
        </w:tc>
        <w:tc>
          <w:tcPr>
            <w:tcW w:w="2229" w:type="dxa"/>
            <w:gridSpan w:val="2"/>
          </w:tcPr>
          <w:p w:rsidR="00532AF6" w:rsidRPr="006545F1" w:rsidRDefault="00532AF6" w:rsidP="00DC2D54">
            <w:pPr>
              <w:pStyle w:val="Default"/>
              <w:rPr>
                <w:sz w:val="20"/>
                <w:szCs w:val="20"/>
                <w:lang w:val="en-US"/>
              </w:rPr>
            </w:pPr>
            <w:r w:rsidRPr="006545F1">
              <w:rPr>
                <w:sz w:val="20"/>
                <w:szCs w:val="20"/>
                <w:lang w:val="en-US"/>
              </w:rPr>
              <w:t xml:space="preserve">CODEX STAN 234 mentioned AOAC 998.18 (doesn’t exist) </w:t>
            </w:r>
          </w:p>
        </w:tc>
      </w:tr>
      <w:tr w:rsidR="00532AF6" w:rsidRPr="00DA1D98" w:rsidTr="00DC2D54">
        <w:trPr>
          <w:trHeight w:val="488"/>
        </w:trPr>
        <w:tc>
          <w:tcPr>
            <w:tcW w:w="2234" w:type="dxa"/>
          </w:tcPr>
          <w:p w:rsidR="00532AF6" w:rsidRPr="006545F1" w:rsidRDefault="00532AF6" w:rsidP="00DC2D54">
            <w:pPr>
              <w:pStyle w:val="Default"/>
              <w:rPr>
                <w:sz w:val="20"/>
                <w:szCs w:val="20"/>
              </w:rPr>
            </w:pPr>
            <w:r w:rsidRPr="006545F1">
              <w:rPr>
                <w:sz w:val="20"/>
                <w:szCs w:val="20"/>
              </w:rPr>
              <w:t xml:space="preserve">Honey </w:t>
            </w:r>
          </w:p>
        </w:tc>
        <w:tc>
          <w:tcPr>
            <w:tcW w:w="2269" w:type="dxa"/>
            <w:gridSpan w:val="2"/>
          </w:tcPr>
          <w:p w:rsidR="00532AF6" w:rsidRPr="006545F1" w:rsidRDefault="00532AF6" w:rsidP="00DC2D54">
            <w:pPr>
              <w:pStyle w:val="Default"/>
              <w:rPr>
                <w:sz w:val="20"/>
                <w:szCs w:val="20"/>
              </w:rPr>
            </w:pPr>
            <w:r w:rsidRPr="006545F1">
              <w:rPr>
                <w:sz w:val="20"/>
                <w:szCs w:val="20"/>
              </w:rPr>
              <w:t xml:space="preserve">Determination of Diastase Activity </w:t>
            </w:r>
          </w:p>
        </w:tc>
        <w:tc>
          <w:tcPr>
            <w:tcW w:w="2126" w:type="dxa"/>
          </w:tcPr>
          <w:p w:rsidR="00532AF6" w:rsidRPr="006545F1" w:rsidRDefault="00532AF6" w:rsidP="00DC2D54">
            <w:pPr>
              <w:pStyle w:val="Default"/>
              <w:rPr>
                <w:sz w:val="20"/>
                <w:szCs w:val="20"/>
              </w:rPr>
            </w:pPr>
            <w:r w:rsidRPr="006545F1">
              <w:rPr>
                <w:sz w:val="20"/>
                <w:szCs w:val="20"/>
              </w:rPr>
              <w:t xml:space="preserve">AOAC 958.09 </w:t>
            </w:r>
          </w:p>
        </w:tc>
        <w:tc>
          <w:tcPr>
            <w:tcW w:w="4536" w:type="dxa"/>
            <w:gridSpan w:val="4"/>
          </w:tcPr>
          <w:p w:rsidR="00532AF6" w:rsidRPr="006545F1" w:rsidRDefault="00532AF6" w:rsidP="00DC2D54">
            <w:pPr>
              <w:pStyle w:val="Default"/>
              <w:rPr>
                <w:sz w:val="20"/>
                <w:szCs w:val="20"/>
              </w:rPr>
            </w:pPr>
            <w:r w:rsidRPr="006545F1">
              <w:rPr>
                <w:sz w:val="20"/>
                <w:szCs w:val="20"/>
              </w:rPr>
              <w:t xml:space="preserve">Spectrophotometry </w:t>
            </w:r>
          </w:p>
        </w:tc>
        <w:tc>
          <w:tcPr>
            <w:tcW w:w="2215" w:type="dxa"/>
          </w:tcPr>
          <w:p w:rsidR="00532AF6" w:rsidRPr="006545F1" w:rsidRDefault="00532AF6" w:rsidP="00DC2D54">
            <w:pPr>
              <w:pStyle w:val="Default"/>
              <w:rPr>
                <w:sz w:val="20"/>
                <w:szCs w:val="20"/>
                <w:lang w:val="en-US"/>
              </w:rPr>
            </w:pPr>
            <w:r w:rsidRPr="006545F1">
              <w:rPr>
                <w:sz w:val="20"/>
                <w:szCs w:val="20"/>
                <w:lang w:val="en-US"/>
              </w:rPr>
              <w:t xml:space="preserve">This method is mentioned only in a CODEX STAN 12-1981 </w:t>
            </w:r>
          </w:p>
        </w:tc>
      </w:tr>
      <w:tr w:rsidR="00532AF6" w:rsidRPr="00DA1D98" w:rsidTr="00DC2D54">
        <w:trPr>
          <w:trHeight w:val="489"/>
        </w:trPr>
        <w:tc>
          <w:tcPr>
            <w:tcW w:w="2234" w:type="dxa"/>
          </w:tcPr>
          <w:p w:rsidR="00532AF6" w:rsidRPr="006545F1" w:rsidRDefault="00532AF6" w:rsidP="00DC2D54">
            <w:pPr>
              <w:pStyle w:val="Default"/>
              <w:rPr>
                <w:sz w:val="20"/>
                <w:szCs w:val="20"/>
              </w:rPr>
            </w:pPr>
            <w:r w:rsidRPr="006545F1">
              <w:rPr>
                <w:sz w:val="20"/>
                <w:szCs w:val="20"/>
              </w:rPr>
              <w:t xml:space="preserve">Honey </w:t>
            </w:r>
          </w:p>
        </w:tc>
        <w:tc>
          <w:tcPr>
            <w:tcW w:w="2229" w:type="dxa"/>
          </w:tcPr>
          <w:p w:rsidR="00532AF6" w:rsidRPr="006545F1" w:rsidRDefault="00532AF6" w:rsidP="00DC2D54">
            <w:pPr>
              <w:pStyle w:val="Default"/>
              <w:rPr>
                <w:sz w:val="20"/>
                <w:szCs w:val="20"/>
                <w:lang w:val="en-US"/>
              </w:rPr>
            </w:pPr>
            <w:r w:rsidRPr="006545F1">
              <w:rPr>
                <w:sz w:val="20"/>
                <w:szCs w:val="20"/>
                <w:lang w:val="en-US"/>
              </w:rPr>
              <w:t xml:space="preserve">Determination of hydroxymethylfurfural (HMF) content </w:t>
            </w:r>
          </w:p>
        </w:tc>
        <w:tc>
          <w:tcPr>
            <w:tcW w:w="2229" w:type="dxa"/>
            <w:gridSpan w:val="3"/>
          </w:tcPr>
          <w:p w:rsidR="00532AF6" w:rsidRPr="006545F1" w:rsidRDefault="00532AF6" w:rsidP="00DC2D54">
            <w:pPr>
              <w:pStyle w:val="Default"/>
              <w:rPr>
                <w:sz w:val="20"/>
                <w:szCs w:val="20"/>
              </w:rPr>
            </w:pPr>
            <w:r w:rsidRPr="006545F1">
              <w:rPr>
                <w:sz w:val="20"/>
                <w:szCs w:val="20"/>
              </w:rPr>
              <w:t xml:space="preserve">AOAC 980.23 </w:t>
            </w:r>
          </w:p>
        </w:tc>
        <w:tc>
          <w:tcPr>
            <w:tcW w:w="2230" w:type="dxa"/>
          </w:tcPr>
          <w:p w:rsidR="00532AF6" w:rsidRPr="006545F1" w:rsidRDefault="00532AF6" w:rsidP="00DC2D54">
            <w:pPr>
              <w:pStyle w:val="Default"/>
              <w:rPr>
                <w:sz w:val="20"/>
                <w:szCs w:val="20"/>
              </w:rPr>
            </w:pPr>
            <w:r w:rsidRPr="006545F1">
              <w:rPr>
                <w:sz w:val="20"/>
                <w:szCs w:val="20"/>
              </w:rPr>
              <w:t xml:space="preserve">Spectrophotometry </w:t>
            </w:r>
          </w:p>
        </w:tc>
        <w:tc>
          <w:tcPr>
            <w:tcW w:w="2229" w:type="dxa"/>
          </w:tcPr>
          <w:p w:rsidR="00532AF6" w:rsidRPr="006545F1" w:rsidRDefault="00532AF6" w:rsidP="00DC2D54">
            <w:pPr>
              <w:pStyle w:val="Default"/>
              <w:rPr>
                <w:sz w:val="22"/>
                <w:szCs w:val="22"/>
              </w:rPr>
            </w:pPr>
            <w:r w:rsidRPr="006545F1">
              <w:rPr>
                <w:sz w:val="22"/>
                <w:szCs w:val="22"/>
              </w:rPr>
              <w:t xml:space="preserve">I </w:t>
            </w:r>
          </w:p>
        </w:tc>
        <w:tc>
          <w:tcPr>
            <w:tcW w:w="2229" w:type="dxa"/>
            <w:gridSpan w:val="2"/>
          </w:tcPr>
          <w:p w:rsidR="00532AF6" w:rsidRPr="006545F1" w:rsidRDefault="00532AF6" w:rsidP="00DC2D54">
            <w:pPr>
              <w:pStyle w:val="Default"/>
              <w:rPr>
                <w:sz w:val="20"/>
                <w:szCs w:val="20"/>
                <w:lang w:val="en-US"/>
              </w:rPr>
            </w:pPr>
            <w:r w:rsidRPr="006545F1">
              <w:rPr>
                <w:sz w:val="20"/>
                <w:szCs w:val="20"/>
                <w:lang w:val="en-US"/>
              </w:rPr>
              <w:t xml:space="preserve">This method is mentioned only in a CODEX STAN 12-1981 </w:t>
            </w:r>
          </w:p>
        </w:tc>
      </w:tr>
      <w:tr w:rsidR="00532AF6" w:rsidRPr="00DA1D98" w:rsidTr="00DC2D54">
        <w:trPr>
          <w:trHeight w:val="489"/>
        </w:trPr>
        <w:tc>
          <w:tcPr>
            <w:tcW w:w="2234" w:type="dxa"/>
          </w:tcPr>
          <w:p w:rsidR="00532AF6" w:rsidRPr="006545F1" w:rsidRDefault="00532AF6" w:rsidP="00DC2D54">
            <w:pPr>
              <w:pStyle w:val="Default"/>
              <w:rPr>
                <w:sz w:val="20"/>
                <w:szCs w:val="20"/>
              </w:rPr>
            </w:pPr>
            <w:r w:rsidRPr="006545F1">
              <w:rPr>
                <w:sz w:val="20"/>
                <w:szCs w:val="20"/>
              </w:rPr>
              <w:t xml:space="preserve">Fruit juices and Nectars </w:t>
            </w:r>
          </w:p>
        </w:tc>
        <w:tc>
          <w:tcPr>
            <w:tcW w:w="2229" w:type="dxa"/>
          </w:tcPr>
          <w:p w:rsidR="00532AF6" w:rsidRPr="006545F1" w:rsidRDefault="00532AF6" w:rsidP="00DC2D54">
            <w:pPr>
              <w:pStyle w:val="Default"/>
              <w:rPr>
                <w:sz w:val="20"/>
                <w:szCs w:val="20"/>
              </w:rPr>
            </w:pPr>
            <w:r w:rsidRPr="006545F1">
              <w:rPr>
                <w:sz w:val="20"/>
                <w:szCs w:val="20"/>
              </w:rPr>
              <w:t xml:space="preserve">Isocitric acid-D </w:t>
            </w:r>
          </w:p>
        </w:tc>
        <w:tc>
          <w:tcPr>
            <w:tcW w:w="2229" w:type="dxa"/>
            <w:gridSpan w:val="3"/>
          </w:tcPr>
          <w:p w:rsidR="00532AF6" w:rsidRPr="006545F1" w:rsidRDefault="00532AF6" w:rsidP="00DC2D54">
            <w:pPr>
              <w:pStyle w:val="Default"/>
              <w:rPr>
                <w:sz w:val="20"/>
                <w:szCs w:val="20"/>
              </w:rPr>
            </w:pPr>
            <w:r w:rsidRPr="006545F1">
              <w:rPr>
                <w:sz w:val="20"/>
                <w:szCs w:val="20"/>
              </w:rPr>
              <w:t xml:space="preserve">EN 1139 (1999) IFU Method No. 54 (1984) </w:t>
            </w:r>
          </w:p>
        </w:tc>
        <w:tc>
          <w:tcPr>
            <w:tcW w:w="2230" w:type="dxa"/>
          </w:tcPr>
          <w:p w:rsidR="00532AF6" w:rsidRPr="006545F1" w:rsidRDefault="00532AF6" w:rsidP="00DC2D54">
            <w:pPr>
              <w:pStyle w:val="Default"/>
              <w:rPr>
                <w:sz w:val="20"/>
                <w:szCs w:val="20"/>
              </w:rPr>
            </w:pPr>
            <w:r w:rsidRPr="006545F1">
              <w:rPr>
                <w:sz w:val="20"/>
                <w:szCs w:val="20"/>
              </w:rPr>
              <w:t xml:space="preserve">Enzymatic determination </w:t>
            </w:r>
          </w:p>
        </w:tc>
        <w:tc>
          <w:tcPr>
            <w:tcW w:w="2229" w:type="dxa"/>
          </w:tcPr>
          <w:p w:rsidR="00532AF6" w:rsidRPr="006545F1" w:rsidRDefault="00532AF6" w:rsidP="00DC2D54">
            <w:pPr>
              <w:pStyle w:val="Default"/>
              <w:rPr>
                <w:sz w:val="22"/>
                <w:szCs w:val="22"/>
              </w:rPr>
            </w:pPr>
            <w:r w:rsidRPr="006545F1">
              <w:rPr>
                <w:sz w:val="22"/>
                <w:szCs w:val="22"/>
              </w:rPr>
              <w:t xml:space="preserve">II </w:t>
            </w:r>
          </w:p>
        </w:tc>
        <w:tc>
          <w:tcPr>
            <w:tcW w:w="2229" w:type="dxa"/>
            <w:gridSpan w:val="2"/>
          </w:tcPr>
          <w:p w:rsidR="00532AF6" w:rsidRPr="006545F1" w:rsidRDefault="00532AF6" w:rsidP="00DC2D54">
            <w:pPr>
              <w:pStyle w:val="Default"/>
              <w:rPr>
                <w:sz w:val="20"/>
                <w:szCs w:val="20"/>
                <w:lang w:val="en-US"/>
              </w:rPr>
            </w:pPr>
            <w:r w:rsidRPr="006545F1">
              <w:rPr>
                <w:sz w:val="20"/>
                <w:szCs w:val="20"/>
                <w:lang w:val="en-US"/>
              </w:rPr>
              <w:t xml:space="preserve">This method is mentioned only in a CODEX STAN 247-2005 </w:t>
            </w:r>
          </w:p>
        </w:tc>
      </w:tr>
    </w:tbl>
    <w:p w:rsidR="00532AF6" w:rsidRPr="006545F1" w:rsidRDefault="00532AF6" w:rsidP="00532AF6">
      <w:pPr>
        <w:rPr>
          <w:rFonts w:ascii="Times New Roman" w:hAnsi="Times New Roman" w:cs="Times New Roman"/>
          <w:lang w:val="en-US"/>
        </w:rPr>
      </w:pPr>
    </w:p>
    <w:p w:rsidR="00532AF6" w:rsidRPr="006545F1" w:rsidRDefault="00532AF6" w:rsidP="00532AF6">
      <w:pPr>
        <w:autoSpaceDE w:val="0"/>
        <w:autoSpaceDN w:val="0"/>
        <w:adjustRightInd w:val="0"/>
        <w:spacing w:after="0" w:line="240" w:lineRule="auto"/>
        <w:ind w:left="284"/>
        <w:jc w:val="both"/>
        <w:rPr>
          <w:rFonts w:ascii="Times New Roman" w:hAnsi="Times New Roman" w:cs="Times New Roman"/>
          <w:b/>
          <w:bCs/>
          <w:lang w:val="en-US"/>
        </w:rPr>
      </w:pPr>
    </w:p>
    <w:p w:rsidR="00D213F5" w:rsidRPr="00DA1D98" w:rsidRDefault="00D213F5">
      <w:pPr>
        <w:rPr>
          <w:rFonts w:ascii="Times New Roman" w:hAnsi="Times New Roman" w:cs="Times New Roman"/>
          <w:lang w:val="en-US"/>
        </w:rPr>
      </w:pPr>
    </w:p>
    <w:sectPr w:rsidR="00D213F5" w:rsidRPr="00DA1D98" w:rsidSect="00487F92">
      <w:pgSz w:w="15840" w:h="12240"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E1" w:rsidRDefault="007B0BE1" w:rsidP="00532AF6">
      <w:pPr>
        <w:spacing w:after="0" w:line="240" w:lineRule="auto"/>
      </w:pPr>
      <w:r>
        <w:separator/>
      </w:r>
    </w:p>
  </w:endnote>
  <w:endnote w:type="continuationSeparator" w:id="0">
    <w:p w:rsidR="007B0BE1" w:rsidRDefault="007B0BE1" w:rsidP="00532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42990"/>
      <w:docPartObj>
        <w:docPartGallery w:val="Page Numbers (Bottom of Page)"/>
        <w:docPartUnique/>
      </w:docPartObj>
    </w:sdtPr>
    <w:sdtContent>
      <w:sdt>
        <w:sdtPr>
          <w:id w:val="-1669238322"/>
          <w:docPartObj>
            <w:docPartGallery w:val="Page Numbers (Top of Page)"/>
            <w:docPartUnique/>
          </w:docPartObj>
        </w:sdtPr>
        <w:sdtContent>
          <w:p w:rsidR="006F3A05" w:rsidRDefault="00B126C5">
            <w:pPr>
              <w:pStyle w:val="llb"/>
              <w:jc w:val="center"/>
            </w:pPr>
            <w:r>
              <w:rPr>
                <w:lang w:val="es-ES"/>
              </w:rPr>
              <w:t xml:space="preserve">Página </w:t>
            </w:r>
            <w:r w:rsidR="00150870">
              <w:rPr>
                <w:b/>
                <w:bCs/>
                <w:sz w:val="24"/>
                <w:szCs w:val="24"/>
              </w:rPr>
              <w:fldChar w:fldCharType="begin"/>
            </w:r>
            <w:r>
              <w:rPr>
                <w:b/>
                <w:bCs/>
              </w:rPr>
              <w:instrText>PAGE</w:instrText>
            </w:r>
            <w:r w:rsidR="00150870">
              <w:rPr>
                <w:b/>
                <w:bCs/>
                <w:sz w:val="24"/>
                <w:szCs w:val="24"/>
              </w:rPr>
              <w:fldChar w:fldCharType="separate"/>
            </w:r>
            <w:r w:rsidR="00660F55">
              <w:rPr>
                <w:b/>
                <w:bCs/>
                <w:noProof/>
              </w:rPr>
              <w:t>3</w:t>
            </w:r>
            <w:r w:rsidR="00150870">
              <w:rPr>
                <w:b/>
                <w:bCs/>
                <w:sz w:val="24"/>
                <w:szCs w:val="24"/>
              </w:rPr>
              <w:fldChar w:fldCharType="end"/>
            </w:r>
            <w:r>
              <w:rPr>
                <w:lang w:val="es-ES"/>
              </w:rPr>
              <w:t xml:space="preserve"> de </w:t>
            </w:r>
            <w:r w:rsidR="00150870">
              <w:rPr>
                <w:b/>
                <w:bCs/>
                <w:sz w:val="24"/>
                <w:szCs w:val="24"/>
              </w:rPr>
              <w:fldChar w:fldCharType="begin"/>
            </w:r>
            <w:r>
              <w:rPr>
                <w:b/>
                <w:bCs/>
              </w:rPr>
              <w:instrText>NUMPAGES</w:instrText>
            </w:r>
            <w:r w:rsidR="00150870">
              <w:rPr>
                <w:b/>
                <w:bCs/>
                <w:sz w:val="24"/>
                <w:szCs w:val="24"/>
              </w:rPr>
              <w:fldChar w:fldCharType="separate"/>
            </w:r>
            <w:r w:rsidR="00660F55">
              <w:rPr>
                <w:b/>
                <w:bCs/>
                <w:noProof/>
              </w:rPr>
              <w:t>4</w:t>
            </w:r>
            <w:r w:rsidR="00150870">
              <w:rPr>
                <w:b/>
                <w:bCs/>
                <w:sz w:val="24"/>
                <w:szCs w:val="24"/>
              </w:rPr>
              <w:fldChar w:fldCharType="end"/>
            </w:r>
          </w:p>
        </w:sdtContent>
      </w:sdt>
    </w:sdtContent>
  </w:sdt>
  <w:p w:rsidR="006F3A05" w:rsidRDefault="00660F5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E1" w:rsidRDefault="007B0BE1" w:rsidP="00532AF6">
      <w:pPr>
        <w:spacing w:after="0" w:line="240" w:lineRule="auto"/>
      </w:pPr>
      <w:r>
        <w:separator/>
      </w:r>
    </w:p>
  </w:footnote>
  <w:footnote w:type="continuationSeparator" w:id="0">
    <w:p w:rsidR="007B0BE1" w:rsidRDefault="007B0BE1" w:rsidP="00532A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605" w:rsidRDefault="00B126C5" w:rsidP="00532AF6">
    <w:pPr>
      <w:jc w:val="center"/>
      <w:rPr>
        <w:rFonts w:ascii="Times New Roman" w:hAnsi="Times New Roman" w:cs="Times New Roman"/>
        <w:b/>
      </w:rPr>
    </w:pPr>
    <w:r>
      <w:rPr>
        <w:noProof/>
        <w:lang w:val="hu-HU" w:eastAsia="hu-HU"/>
      </w:rPr>
      <w:drawing>
        <wp:anchor distT="0" distB="0" distL="114300" distR="114300" simplePos="0" relativeHeight="251660288" behindDoc="1" locked="0" layoutInCell="1" allowOverlap="1">
          <wp:simplePos x="0" y="0"/>
          <wp:positionH relativeFrom="column">
            <wp:posOffset>-603885</wp:posOffset>
          </wp:positionH>
          <wp:positionV relativeFrom="paragraph">
            <wp:posOffset>-220980</wp:posOffset>
          </wp:positionV>
          <wp:extent cx="752475" cy="751205"/>
          <wp:effectExtent l="0" t="0" r="9525" b="0"/>
          <wp:wrapTight wrapText="bothSides">
            <wp:wrapPolygon edited="0">
              <wp:start x="0" y="0"/>
              <wp:lineTo x="0" y="20815"/>
              <wp:lineTo x="21327" y="20815"/>
              <wp:lineTo x="21327"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_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751205"/>
                  </a:xfrm>
                  <a:prstGeom prst="rect">
                    <a:avLst/>
                  </a:prstGeom>
                </pic:spPr>
              </pic:pic>
            </a:graphicData>
          </a:graphic>
        </wp:anchor>
      </w:drawing>
    </w:r>
    <w:r w:rsidRPr="00092605">
      <w:rPr>
        <w:b/>
      </w:rPr>
      <w:t xml:space="preserve"> </w:t>
    </w:r>
    <w:r>
      <w:rPr>
        <w:b/>
      </w:rPr>
      <w:tab/>
    </w:r>
    <w:r w:rsidR="00532AF6" w:rsidRPr="00532AF6">
      <w:rPr>
        <w:rFonts w:ascii="Times New Roman" w:hAnsi="Times New Roman" w:cs="Times New Roman"/>
        <w:b/>
      </w:rPr>
      <w:t xml:space="preserve">CHILE </w:t>
    </w:r>
    <w:r w:rsidR="00532AF6" w:rsidRPr="00532AF6">
      <w:rPr>
        <w:rFonts w:ascii="Times New Roman" w:hAnsi="Times New Roman" w:cs="Times New Roman"/>
        <w:b/>
      </w:rPr>
      <w:br/>
      <w:t>COMITÉ DE METODOS DE ANALISIS Y TOMA DE MUESTRA</w:t>
    </w:r>
  </w:p>
  <w:p w:rsidR="006545F1" w:rsidRPr="00532AF6" w:rsidRDefault="006545F1" w:rsidP="00532AF6">
    <w:pPr>
      <w:jc w:val="center"/>
      <w:rPr>
        <w:rFonts w:ascii="Times New Roman" w:hAnsi="Times New Roman" w:cs="Times New Roman"/>
        <w:b/>
      </w:rPr>
    </w:pPr>
    <w:r>
      <w:rPr>
        <w:rFonts w:ascii="Times New Roman" w:hAnsi="Times New Roman" w:cs="Times New Roman"/>
        <w:b/>
      </w:rPr>
      <w:t xml:space="preserve">CX/MAS13/34/2 y </w:t>
    </w:r>
    <w:r w:rsidRPr="006545F1">
      <w:rPr>
        <w:rFonts w:ascii="Times New Roman" w:hAnsi="Times New Roman" w:cs="Times New Roman"/>
        <w:b/>
      </w:rPr>
      <w:t>CX/MAS 13/34/6</w:t>
    </w:r>
  </w:p>
  <w:p w:rsidR="00092605" w:rsidRPr="00532AF6" w:rsidRDefault="00150870">
    <w:pPr>
      <w:pStyle w:val="lfej"/>
      <w:rPr>
        <w:rFonts w:ascii="Times New Roman" w:hAnsi="Times New Roman" w:cs="Times New Roman"/>
      </w:rPr>
    </w:pPr>
    <w:r w:rsidRPr="00150870">
      <w:rPr>
        <w:rFonts w:ascii="Times New Roman" w:hAnsi="Times New Roman" w:cs="Times New Roman"/>
        <w:noProof/>
        <w:lang w:eastAsia="es-CL"/>
      </w:rPr>
      <w:pict>
        <v:line id="2 Conector recto" o:spid="_x0000_s2049"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8.95pt" to="528.4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" strokecolor="#4f81bd [3204]"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176"/>
    <w:multiLevelType w:val="hybridMultilevel"/>
    <w:tmpl w:val="F20684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380E27C2"/>
    <w:multiLevelType w:val="hybridMultilevel"/>
    <w:tmpl w:val="CA746CE4"/>
    <w:lvl w:ilvl="0" w:tplc="0C8E0002">
      <w:start w:val="2"/>
      <w:numFmt w:val="bullet"/>
      <w:lvlText w:val=""/>
      <w:lvlJc w:val="left"/>
      <w:pPr>
        <w:ind w:left="1068" w:hanging="360"/>
      </w:pPr>
      <w:rPr>
        <w:rFonts w:ascii="Symbol" w:eastAsiaTheme="minorHAnsi" w:hAnsi="Symbol"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703D28CD"/>
    <w:multiLevelType w:val="hybridMultilevel"/>
    <w:tmpl w:val="6DF00162"/>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5340EFE"/>
    <w:multiLevelType w:val="hybridMultilevel"/>
    <w:tmpl w:val="F77615FA"/>
    <w:lvl w:ilvl="0" w:tplc="C228FB28">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532AF6"/>
    <w:rsid w:val="00150870"/>
    <w:rsid w:val="00532AF6"/>
    <w:rsid w:val="006545F1"/>
    <w:rsid w:val="00660F55"/>
    <w:rsid w:val="007B0BE1"/>
    <w:rsid w:val="00853D6C"/>
    <w:rsid w:val="009371D4"/>
    <w:rsid w:val="00B126C5"/>
    <w:rsid w:val="00D213F5"/>
    <w:rsid w:val="00DA1D98"/>
    <w:rsid w:val="00DE1CC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32AF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32AF6"/>
    <w:pPr>
      <w:ind w:left="720"/>
      <w:contextualSpacing/>
    </w:pPr>
  </w:style>
  <w:style w:type="paragraph" w:styleId="lfej">
    <w:name w:val="header"/>
    <w:basedOn w:val="Norml"/>
    <w:link w:val="lfejChar"/>
    <w:uiPriority w:val="99"/>
    <w:unhideWhenUsed/>
    <w:rsid w:val="00532AF6"/>
    <w:pPr>
      <w:tabs>
        <w:tab w:val="center" w:pos="4419"/>
        <w:tab w:val="right" w:pos="8838"/>
      </w:tabs>
      <w:spacing w:after="0" w:line="240" w:lineRule="auto"/>
    </w:pPr>
  </w:style>
  <w:style w:type="character" w:customStyle="1" w:styleId="lfejChar">
    <w:name w:val="Élőfej Char"/>
    <w:basedOn w:val="Bekezdsalapbettpusa"/>
    <w:link w:val="lfej"/>
    <w:uiPriority w:val="99"/>
    <w:rsid w:val="00532AF6"/>
  </w:style>
  <w:style w:type="paragraph" w:styleId="llb">
    <w:name w:val="footer"/>
    <w:basedOn w:val="Norml"/>
    <w:link w:val="llbChar"/>
    <w:uiPriority w:val="99"/>
    <w:unhideWhenUsed/>
    <w:rsid w:val="00532AF6"/>
    <w:pPr>
      <w:tabs>
        <w:tab w:val="center" w:pos="4419"/>
        <w:tab w:val="right" w:pos="8838"/>
      </w:tabs>
      <w:spacing w:after="0" w:line="240" w:lineRule="auto"/>
    </w:pPr>
  </w:style>
  <w:style w:type="character" w:customStyle="1" w:styleId="llbChar">
    <w:name w:val="Élőláb Char"/>
    <w:basedOn w:val="Bekezdsalapbettpusa"/>
    <w:link w:val="llb"/>
    <w:uiPriority w:val="99"/>
    <w:rsid w:val="00532AF6"/>
  </w:style>
  <w:style w:type="paragraph" w:customStyle="1" w:styleId="Default">
    <w:name w:val="Default"/>
    <w:rsid w:val="00532AF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AF6"/>
    <w:pPr>
      <w:ind w:left="720"/>
      <w:contextualSpacing/>
    </w:pPr>
  </w:style>
  <w:style w:type="paragraph" w:styleId="Encabezado">
    <w:name w:val="header"/>
    <w:basedOn w:val="Normal"/>
    <w:link w:val="EncabezadoCar"/>
    <w:uiPriority w:val="99"/>
    <w:unhideWhenUsed/>
    <w:rsid w:val="00532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2AF6"/>
  </w:style>
  <w:style w:type="paragraph" w:styleId="Piedepgina">
    <w:name w:val="footer"/>
    <w:basedOn w:val="Normal"/>
    <w:link w:val="PiedepginaCar"/>
    <w:uiPriority w:val="99"/>
    <w:unhideWhenUsed/>
    <w:rsid w:val="00532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2AF6"/>
  </w:style>
  <w:style w:type="paragraph" w:customStyle="1" w:styleId="Default">
    <w:name w:val="Default"/>
    <w:rsid w:val="00532AF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Soraya Sandoval</dc:creator>
  <cp:lastModifiedBy>Zentai Andrea</cp:lastModifiedBy>
  <cp:revision>2</cp:revision>
  <dcterms:created xsi:type="dcterms:W3CDTF">2013-02-28T12:26:00Z</dcterms:created>
  <dcterms:modified xsi:type="dcterms:W3CDTF">2013-02-28T12:26:00Z</dcterms:modified>
</cp:coreProperties>
</file>