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682" w:rsidRPr="008619A1" w:rsidRDefault="009D3682" w:rsidP="009D3682">
      <w:pPr>
        <w:jc w:val="center"/>
        <w:rPr>
          <w:b/>
        </w:rPr>
      </w:pPr>
      <w:r w:rsidRPr="008619A1">
        <w:rPr>
          <w:b/>
        </w:rPr>
        <w:t>Nyári szezonális élelmiszerlánc ellenőrzés 2012.</w:t>
      </w:r>
    </w:p>
    <w:p w:rsidR="009D3682" w:rsidRDefault="00D432C0" w:rsidP="009D3682">
      <w:pPr>
        <w:jc w:val="center"/>
      </w:pPr>
      <w:r>
        <w:t>záró</w:t>
      </w:r>
      <w:r w:rsidR="009D3682">
        <w:t>jelentés</w:t>
      </w:r>
    </w:p>
    <w:p w:rsidR="009F03F9" w:rsidRDefault="009F03F9" w:rsidP="009D3682">
      <w:pPr>
        <w:jc w:val="center"/>
      </w:pPr>
    </w:p>
    <w:p w:rsidR="009D3682" w:rsidRDefault="009D3682" w:rsidP="009D3682">
      <w:pPr>
        <w:jc w:val="center"/>
      </w:pPr>
    </w:p>
    <w:p w:rsidR="009D3682" w:rsidRPr="00133E55" w:rsidRDefault="009D3682" w:rsidP="009D3682">
      <w:pPr>
        <w:rPr>
          <w:rFonts w:eastAsia="Calibri" w:cs="Times New Roman"/>
          <w:szCs w:val="24"/>
        </w:rPr>
      </w:pPr>
      <w:r>
        <w:rPr>
          <w:szCs w:val="24"/>
        </w:rPr>
        <w:t xml:space="preserve">A </w:t>
      </w:r>
      <w:r w:rsidR="00414651" w:rsidRPr="00465682">
        <w:rPr>
          <w:b/>
          <w:szCs w:val="24"/>
        </w:rPr>
        <w:t>2012</w:t>
      </w:r>
      <w:r w:rsidR="00465682">
        <w:rPr>
          <w:b/>
          <w:szCs w:val="24"/>
        </w:rPr>
        <w:t>.</w:t>
      </w:r>
      <w:r w:rsidR="00414651">
        <w:rPr>
          <w:szCs w:val="24"/>
        </w:rPr>
        <w:t xml:space="preserve"> évi </w:t>
      </w:r>
      <w:r>
        <w:rPr>
          <w:szCs w:val="24"/>
        </w:rPr>
        <w:t>nyári szezonális élelmiszerlánc ellenőrzések</w:t>
      </w:r>
      <w:r w:rsidR="00465682">
        <w:rPr>
          <w:szCs w:val="24"/>
        </w:rPr>
        <w:t>re</w:t>
      </w:r>
      <w:r w:rsidR="00414651">
        <w:rPr>
          <w:szCs w:val="24"/>
        </w:rPr>
        <w:t xml:space="preserve"> </w:t>
      </w:r>
      <w:r w:rsidR="00414651" w:rsidRPr="00414651">
        <w:rPr>
          <w:b/>
          <w:szCs w:val="24"/>
        </w:rPr>
        <w:t xml:space="preserve">június 25. és augusztus 31. között </w:t>
      </w:r>
      <w:r w:rsidR="00465682" w:rsidRPr="00465682">
        <w:rPr>
          <w:szCs w:val="24"/>
        </w:rPr>
        <w:t>került sor</w:t>
      </w:r>
      <w:r w:rsidR="00465682">
        <w:rPr>
          <w:b/>
          <w:szCs w:val="24"/>
        </w:rPr>
        <w:t xml:space="preserve"> </w:t>
      </w:r>
      <w:r w:rsidR="00414651" w:rsidRPr="00414651">
        <w:rPr>
          <w:szCs w:val="24"/>
        </w:rPr>
        <w:t>az egész ország területén</w:t>
      </w:r>
      <w:r w:rsidR="00465682">
        <w:rPr>
          <w:szCs w:val="24"/>
        </w:rPr>
        <w:t xml:space="preserve">, melynek </w:t>
      </w:r>
      <w:r w:rsidRPr="00445E1F">
        <w:rPr>
          <w:rFonts w:eastAsia="Calibri" w:cs="Times New Roman"/>
          <w:szCs w:val="24"/>
        </w:rPr>
        <w:t xml:space="preserve">elsődleges </w:t>
      </w:r>
      <w:r>
        <w:rPr>
          <w:rFonts w:eastAsia="Calibri" w:cs="Times New Roman"/>
          <w:szCs w:val="24"/>
        </w:rPr>
        <w:t>célja</w:t>
      </w:r>
      <w:r w:rsidRPr="00445E1F">
        <w:rPr>
          <w:rFonts w:eastAsia="Calibri" w:cs="Times New Roman"/>
          <w:szCs w:val="24"/>
        </w:rPr>
        <w:t xml:space="preserve"> </w:t>
      </w:r>
      <w:r w:rsidR="00465682">
        <w:rPr>
          <w:rFonts w:eastAsia="Calibri" w:cs="Times New Roman"/>
          <w:szCs w:val="24"/>
        </w:rPr>
        <w:t xml:space="preserve">volt </w:t>
      </w:r>
      <w:r w:rsidRPr="00445E1F">
        <w:rPr>
          <w:rFonts w:eastAsia="Calibri" w:cs="Times New Roman"/>
          <w:szCs w:val="24"/>
        </w:rPr>
        <w:t>a nyári melegben</w:t>
      </w:r>
      <w:r>
        <w:rPr>
          <w:rFonts w:eastAsia="Calibri" w:cs="Times New Roman"/>
          <w:szCs w:val="24"/>
        </w:rPr>
        <w:t>, a nyaralók</w:t>
      </w:r>
      <w:r w:rsidRPr="00445E1F">
        <w:rPr>
          <w:rFonts w:eastAsia="Calibri" w:cs="Times New Roman"/>
          <w:szCs w:val="24"/>
        </w:rPr>
        <w:t xml:space="preserve"> és </w:t>
      </w:r>
      <w:r w:rsidR="00196DC8">
        <w:rPr>
          <w:szCs w:val="24"/>
        </w:rPr>
        <w:t>turisták</w:t>
      </w:r>
      <w:r w:rsidRPr="00445E1F">
        <w:rPr>
          <w:rFonts w:eastAsia="Calibri" w:cs="Times New Roman"/>
          <w:szCs w:val="24"/>
        </w:rPr>
        <w:t xml:space="preserve"> miatt megnövekedett forgalom mellett is fenntartani az élelmiszerbiztonságot.</w:t>
      </w:r>
    </w:p>
    <w:p w:rsidR="00196DC8" w:rsidRDefault="00196DC8" w:rsidP="009D3682">
      <w:pPr>
        <w:autoSpaceDE w:val="0"/>
        <w:autoSpaceDN w:val="0"/>
        <w:adjustRightInd w:val="0"/>
        <w:rPr>
          <w:szCs w:val="24"/>
        </w:rPr>
      </w:pPr>
    </w:p>
    <w:p w:rsidR="009D3682" w:rsidRPr="00445E1F" w:rsidRDefault="00196DC8" w:rsidP="009D3682">
      <w:pPr>
        <w:autoSpaceDE w:val="0"/>
        <w:autoSpaceDN w:val="0"/>
        <w:adjustRightInd w:val="0"/>
        <w:rPr>
          <w:rFonts w:eastAsia="Calibri" w:cs="Times New Roman"/>
          <w:szCs w:val="24"/>
        </w:rPr>
      </w:pPr>
      <w:r>
        <w:rPr>
          <w:szCs w:val="24"/>
        </w:rPr>
        <w:t xml:space="preserve">Ennek szavatolása érdekében a Megyei Kormányhivatalok Élelmiszerlánc-biztonsági és Állategészségügyi valamint Növény- és Talajvédelmi Igazgatóságainak szakemberei – </w:t>
      </w:r>
      <w:r w:rsidR="009D3682" w:rsidRPr="00445E1F">
        <w:rPr>
          <w:rFonts w:eastAsia="Calibri" w:cs="Times New Roman"/>
          <w:szCs w:val="24"/>
        </w:rPr>
        <w:t xml:space="preserve">az éves ellenőrzési tervben meghatározottakon túl – </w:t>
      </w:r>
      <w:r>
        <w:rPr>
          <w:szCs w:val="24"/>
        </w:rPr>
        <w:t>fokozottan</w:t>
      </w:r>
      <w:r w:rsidR="009D3682" w:rsidRPr="00445E1F">
        <w:rPr>
          <w:rFonts w:eastAsia="Calibri" w:cs="Times New Roman"/>
          <w:szCs w:val="24"/>
        </w:rPr>
        <w:t xml:space="preserve"> vizsgál</w:t>
      </w:r>
      <w:r w:rsidR="00465682">
        <w:rPr>
          <w:rFonts w:eastAsia="Calibri" w:cs="Times New Roman"/>
          <w:szCs w:val="24"/>
        </w:rPr>
        <w:t>ták</w:t>
      </w:r>
      <w:r w:rsidR="009D3682" w:rsidRPr="00445E1F">
        <w:rPr>
          <w:rFonts w:eastAsia="Calibri" w:cs="Times New Roman"/>
          <w:szCs w:val="24"/>
        </w:rPr>
        <w:t xml:space="preserve"> </w:t>
      </w:r>
      <w:r w:rsidR="009D3682">
        <w:rPr>
          <w:rFonts w:eastAsia="Calibri" w:cs="Times New Roman"/>
          <w:szCs w:val="24"/>
        </w:rPr>
        <w:t xml:space="preserve">a </w:t>
      </w:r>
      <w:r w:rsidR="009D3682" w:rsidRPr="00445E1F">
        <w:rPr>
          <w:rFonts w:eastAsia="Calibri" w:cs="Times New Roman"/>
          <w:szCs w:val="24"/>
        </w:rPr>
        <w:t>szezonális élelmiszereket</w:t>
      </w:r>
      <w:r w:rsidR="009D3682">
        <w:rPr>
          <w:rFonts w:eastAsia="Calibri" w:cs="Times New Roman"/>
          <w:szCs w:val="24"/>
        </w:rPr>
        <w:t>,</w:t>
      </w:r>
      <w:r w:rsidR="009D3682" w:rsidRPr="00445E1F">
        <w:rPr>
          <w:rFonts w:eastAsia="Calibri" w:cs="Times New Roman"/>
          <w:szCs w:val="24"/>
        </w:rPr>
        <w:t xml:space="preserve"> illetve az időszakosan működő élelmiszer-forgalmazó helyeket. </w:t>
      </w:r>
    </w:p>
    <w:p w:rsidR="00196DC8" w:rsidRDefault="00196DC8" w:rsidP="009D3682">
      <w:pPr>
        <w:rPr>
          <w:szCs w:val="24"/>
        </w:rPr>
      </w:pPr>
    </w:p>
    <w:p w:rsidR="009D3682" w:rsidRDefault="009D3682" w:rsidP="009D3682">
      <w:pPr>
        <w:rPr>
          <w:rFonts w:eastAsia="Calibri" w:cs="Times New Roman"/>
          <w:szCs w:val="24"/>
        </w:rPr>
      </w:pPr>
      <w:r w:rsidRPr="00133E55">
        <w:rPr>
          <w:rFonts w:eastAsia="Calibri" w:cs="Times New Roman"/>
          <w:szCs w:val="24"/>
        </w:rPr>
        <w:t>A célterül</w:t>
      </w:r>
      <w:r>
        <w:rPr>
          <w:rFonts w:eastAsia="Calibri" w:cs="Times New Roman"/>
          <w:szCs w:val="24"/>
        </w:rPr>
        <w:t>etek között szerepel</w:t>
      </w:r>
      <w:r w:rsidR="00465682">
        <w:rPr>
          <w:rFonts w:eastAsia="Calibri" w:cs="Times New Roman"/>
          <w:szCs w:val="24"/>
        </w:rPr>
        <w:t>t</w:t>
      </w:r>
      <w:r>
        <w:rPr>
          <w:rFonts w:eastAsia="Calibri" w:cs="Times New Roman"/>
          <w:szCs w:val="24"/>
        </w:rPr>
        <w:t xml:space="preserve"> az ifjúsági és gyermektáborok </w:t>
      </w:r>
      <w:r w:rsidRPr="006B7584">
        <w:rPr>
          <w:rFonts w:eastAsia="Calibri" w:cs="Times New Roman"/>
          <w:szCs w:val="24"/>
        </w:rPr>
        <w:t>étkeztetése</w:t>
      </w:r>
      <w:r>
        <w:rPr>
          <w:rFonts w:eastAsia="Calibri" w:cs="Times New Roman"/>
          <w:szCs w:val="24"/>
        </w:rPr>
        <w:t xml:space="preserve">, a </w:t>
      </w:r>
      <w:r w:rsidRPr="006B7584">
        <w:rPr>
          <w:rFonts w:eastAsia="Calibri" w:cs="Times New Roman"/>
          <w:szCs w:val="24"/>
        </w:rPr>
        <w:t>nagy tömegeket megmozgató</w:t>
      </w:r>
      <w:r>
        <w:rPr>
          <w:rFonts w:eastAsia="Calibri" w:cs="Times New Roman"/>
          <w:szCs w:val="24"/>
        </w:rPr>
        <w:t xml:space="preserve"> országos és nemzetközi rendezvényeken élelmiszert forgalmazó létesítmények, valamint a strandokon, üdülő helyeken szezonálisan működő büfék, falatozók, éttermek, cukrászdák és fagylaltozók ellenőrzése. Természetesen kiemelt </w:t>
      </w:r>
      <w:r w:rsidR="00196DC8">
        <w:rPr>
          <w:szCs w:val="24"/>
        </w:rPr>
        <w:t>figyelmet fordít</w:t>
      </w:r>
      <w:r w:rsidR="00465682">
        <w:rPr>
          <w:szCs w:val="24"/>
        </w:rPr>
        <w:t>ott</w:t>
      </w:r>
      <w:r w:rsidR="00196DC8">
        <w:rPr>
          <w:szCs w:val="24"/>
        </w:rPr>
        <w:t xml:space="preserve"> a hatóság</w:t>
      </w:r>
      <w:r>
        <w:rPr>
          <w:rFonts w:eastAsia="Calibri" w:cs="Times New Roman"/>
          <w:szCs w:val="24"/>
        </w:rPr>
        <w:t xml:space="preserve"> az itt felhasznált élelmiszereket előállító létesítmények ellenőrzésére is.   </w:t>
      </w:r>
    </w:p>
    <w:p w:rsidR="009D3682" w:rsidRDefault="009D3682" w:rsidP="009D3682">
      <w:pPr>
        <w:rPr>
          <w:rFonts w:eastAsia="Calibri" w:cs="Times New Roman"/>
          <w:szCs w:val="24"/>
        </w:rPr>
      </w:pPr>
    </w:p>
    <w:p w:rsidR="009D3682" w:rsidRDefault="00196DC8" w:rsidP="009D3682">
      <w:pPr>
        <w:rPr>
          <w:szCs w:val="24"/>
        </w:rPr>
      </w:pPr>
      <w:r>
        <w:rPr>
          <w:szCs w:val="24"/>
        </w:rPr>
        <w:t>Szezonális</w:t>
      </w:r>
      <w:r w:rsidR="009D3682">
        <w:rPr>
          <w:rFonts w:eastAsia="Calibri" w:cs="Times New Roman"/>
          <w:szCs w:val="24"/>
        </w:rPr>
        <w:t xml:space="preserve"> termékek a nyári idegenforgalmi </w:t>
      </w:r>
      <w:r>
        <w:rPr>
          <w:szCs w:val="24"/>
        </w:rPr>
        <w:t>időszakhoz</w:t>
      </w:r>
      <w:r w:rsidR="009D3682">
        <w:rPr>
          <w:rFonts w:eastAsia="Calibri" w:cs="Times New Roman"/>
          <w:szCs w:val="24"/>
        </w:rPr>
        <w:t xml:space="preserve"> kapcsolódó élelmiszerek</w:t>
      </w:r>
      <w:r w:rsidR="009D3682" w:rsidRPr="00133E55">
        <w:rPr>
          <w:rFonts w:eastAsia="Calibri" w:cs="Times New Roman"/>
          <w:szCs w:val="24"/>
        </w:rPr>
        <w:t>, például a</w:t>
      </w:r>
      <w:r w:rsidR="009D3682">
        <w:rPr>
          <w:rFonts w:eastAsia="Calibri" w:cs="Times New Roman"/>
          <w:szCs w:val="24"/>
        </w:rPr>
        <w:t>z előkészített</w:t>
      </w:r>
      <w:r w:rsidR="009D3682" w:rsidRPr="00133E55">
        <w:rPr>
          <w:rFonts w:eastAsia="Calibri" w:cs="Times New Roman"/>
          <w:szCs w:val="24"/>
        </w:rPr>
        <w:t xml:space="preserve"> </w:t>
      </w:r>
      <w:r w:rsidR="009D3682">
        <w:rPr>
          <w:rFonts w:eastAsia="Calibri" w:cs="Times New Roman"/>
          <w:szCs w:val="24"/>
        </w:rPr>
        <w:t>(grill) húsok, üdítők, sörök, jégkrémek és a zöldség-gyümölcs termékek</w:t>
      </w:r>
      <w:r w:rsidR="00752553">
        <w:rPr>
          <w:szCs w:val="24"/>
        </w:rPr>
        <w:t>, a szezonális ellenőrzés első hetében (06.25. – 06. 29.) pedig fagylalt célellenőrzésre került sor.</w:t>
      </w:r>
    </w:p>
    <w:p w:rsidR="00196DC8" w:rsidRDefault="00196DC8" w:rsidP="009D3682">
      <w:pPr>
        <w:rPr>
          <w:rFonts w:eastAsia="Calibri" w:cs="Times New Roman"/>
          <w:szCs w:val="24"/>
        </w:rPr>
      </w:pPr>
    </w:p>
    <w:p w:rsidR="009D3682" w:rsidRPr="00E21B29" w:rsidRDefault="009D3682" w:rsidP="009D3682">
      <w:pPr>
        <w:rPr>
          <w:rFonts w:eastAsia="Calibri" w:cs="Times New Roman"/>
          <w:szCs w:val="24"/>
        </w:rPr>
      </w:pPr>
      <w:r w:rsidRPr="00E21B29">
        <w:rPr>
          <w:rFonts w:eastAsia="Calibri" w:cs="Times New Roman"/>
          <w:szCs w:val="24"/>
        </w:rPr>
        <w:t>A hatósági ellenőrzés egyaránt kiterjed</w:t>
      </w:r>
      <w:r w:rsidR="00465682">
        <w:rPr>
          <w:rFonts w:eastAsia="Calibri" w:cs="Times New Roman"/>
          <w:szCs w:val="24"/>
        </w:rPr>
        <w:t>t</w:t>
      </w:r>
      <w:r w:rsidRPr="00E21B29">
        <w:rPr>
          <w:rFonts w:eastAsia="Calibri" w:cs="Times New Roman"/>
          <w:szCs w:val="24"/>
        </w:rPr>
        <w:t xml:space="preserve"> az élelmiszerek </w:t>
      </w:r>
      <w:r>
        <w:rPr>
          <w:rFonts w:eastAsia="Calibri" w:cs="Times New Roman"/>
          <w:szCs w:val="24"/>
        </w:rPr>
        <w:t xml:space="preserve">előállításának és </w:t>
      </w:r>
      <w:r w:rsidRPr="00E21B29">
        <w:rPr>
          <w:rFonts w:eastAsia="Calibri" w:cs="Times New Roman"/>
          <w:szCs w:val="24"/>
        </w:rPr>
        <w:t>forgalmazásának feltételeire</w:t>
      </w:r>
      <w:r>
        <w:rPr>
          <w:rFonts w:eastAsia="Calibri" w:cs="Times New Roman"/>
          <w:szCs w:val="24"/>
        </w:rPr>
        <w:t>,</w:t>
      </w:r>
      <w:r w:rsidRPr="00E21B29">
        <w:rPr>
          <w:rFonts w:eastAsia="Calibri" w:cs="Times New Roman"/>
          <w:szCs w:val="24"/>
        </w:rPr>
        <w:t xml:space="preserve"> a forgalomba hozott élelmiszerek minőségére</w:t>
      </w:r>
      <w:r w:rsidRPr="00E21B29">
        <w:rPr>
          <w:rFonts w:eastAsia="Calibri" w:cs="Times New Roman"/>
          <w:kern w:val="24"/>
          <w:szCs w:val="24"/>
        </w:rPr>
        <w:t>, beleértve a termékek nyomon</w:t>
      </w:r>
      <w:r>
        <w:rPr>
          <w:rFonts w:eastAsia="Calibri" w:cs="Times New Roman"/>
          <w:kern w:val="24"/>
          <w:szCs w:val="24"/>
        </w:rPr>
        <w:t>-</w:t>
      </w:r>
      <w:r w:rsidRPr="00E21B29">
        <w:rPr>
          <w:rFonts w:eastAsia="Calibri" w:cs="Times New Roman"/>
          <w:kern w:val="24"/>
          <w:szCs w:val="24"/>
        </w:rPr>
        <w:t xml:space="preserve">követhetőségét és a szállítás </w:t>
      </w:r>
      <w:r>
        <w:rPr>
          <w:rFonts w:eastAsia="Calibri" w:cs="Times New Roman"/>
          <w:kern w:val="24"/>
          <w:szCs w:val="24"/>
        </w:rPr>
        <w:t>során</w:t>
      </w:r>
      <w:r w:rsidRPr="00E21B29">
        <w:rPr>
          <w:rFonts w:eastAsia="Calibri" w:cs="Times New Roman"/>
          <w:kern w:val="24"/>
          <w:szCs w:val="24"/>
        </w:rPr>
        <w:t xml:space="preserve"> a hűtési lánc fenntartását.</w:t>
      </w:r>
      <w:r w:rsidRPr="00E21B29">
        <w:rPr>
          <w:rFonts w:eastAsia="Calibri" w:cs="Times New Roman"/>
          <w:szCs w:val="24"/>
        </w:rPr>
        <w:t xml:space="preserve">  </w:t>
      </w:r>
    </w:p>
    <w:p w:rsidR="009D3682" w:rsidRDefault="009D3682" w:rsidP="009D3682">
      <w:pPr>
        <w:rPr>
          <w:rFonts w:eastAsia="Calibri" w:cs="Times New Roman"/>
          <w:szCs w:val="24"/>
        </w:rPr>
      </w:pPr>
    </w:p>
    <w:p w:rsidR="009D3682" w:rsidRDefault="004411C5" w:rsidP="009D3682">
      <w:r>
        <w:t xml:space="preserve">A hatósági élelmiszerlánc ellenőrzések </w:t>
      </w:r>
      <w:r w:rsidR="00196DC8">
        <w:t xml:space="preserve">országos </w:t>
      </w:r>
      <w:r>
        <w:t xml:space="preserve">összesített eredményei </w:t>
      </w:r>
      <w:r w:rsidR="00465682">
        <w:t xml:space="preserve">07. 01. – 08. 31. között </w:t>
      </w:r>
      <w:r>
        <w:t>az alábbiak:</w:t>
      </w:r>
    </w:p>
    <w:p w:rsidR="004411C5" w:rsidRDefault="004411C5" w:rsidP="009D3682"/>
    <w:p w:rsidR="009F7DB4" w:rsidRDefault="009F7DB4" w:rsidP="009D3682"/>
    <w:p w:rsidR="004411C5" w:rsidRDefault="008D6969" w:rsidP="00881212">
      <w:pPr>
        <w:jc w:val="center"/>
      </w:pPr>
      <w:r w:rsidRPr="008D6969">
        <w:drawing>
          <wp:inline distT="0" distB="0" distL="0" distR="0">
            <wp:extent cx="4046220" cy="1097280"/>
            <wp:effectExtent l="19050" t="0" r="0" b="0"/>
            <wp:docPr id="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046220" cy="1097280"/>
                    </a:xfrm>
                    <a:prstGeom prst="rect">
                      <a:avLst/>
                    </a:prstGeom>
                    <a:noFill/>
                    <a:ln w="9525">
                      <a:noFill/>
                      <a:miter lim="800000"/>
                      <a:headEnd/>
                      <a:tailEnd/>
                    </a:ln>
                  </pic:spPr>
                </pic:pic>
              </a:graphicData>
            </a:graphic>
          </wp:inline>
        </w:drawing>
      </w:r>
      <w:r w:rsidR="00033157">
        <w:rPr>
          <w:noProof/>
          <w:lang w:eastAsia="hu-HU"/>
        </w:rPr>
        <w:t xml:space="preserve"> </w:t>
      </w:r>
    </w:p>
    <w:p w:rsidR="009D3682" w:rsidRDefault="009D3682"/>
    <w:p w:rsidR="009F03F9" w:rsidRDefault="009F03F9"/>
    <w:p w:rsidR="00610F25" w:rsidRPr="00610F25" w:rsidRDefault="00610F25">
      <w:pPr>
        <w:rPr>
          <w:b/>
          <w:u w:val="single"/>
        </w:rPr>
      </w:pPr>
      <w:r w:rsidRPr="00610F25">
        <w:rPr>
          <w:b/>
          <w:u w:val="single"/>
        </w:rPr>
        <w:t>Élelmiszer-előállítás</w:t>
      </w:r>
    </w:p>
    <w:p w:rsidR="009F03F9" w:rsidRDefault="009F03F9"/>
    <w:p w:rsidR="00881212" w:rsidRDefault="00745B90">
      <w:r>
        <w:t>Az előállító létesítményekben a</w:t>
      </w:r>
      <w:r w:rsidR="00E002BC">
        <w:t xml:space="preserve"> jelzett </w:t>
      </w:r>
      <w:r>
        <w:t xml:space="preserve">időszakban </w:t>
      </w:r>
      <w:r w:rsidR="00CF26A3">
        <w:t>1156</w:t>
      </w:r>
      <w:r>
        <w:t xml:space="preserve"> ellenőrzést végeztek a hatósági szakemberek (vágóhíd/daraboló </w:t>
      </w:r>
      <w:r w:rsidR="00CF26A3">
        <w:t>216</w:t>
      </w:r>
      <w:r>
        <w:t xml:space="preserve">, húskészítmény előállító </w:t>
      </w:r>
      <w:r w:rsidR="00CF26A3">
        <w:t>220</w:t>
      </w:r>
      <w:r>
        <w:t xml:space="preserve">, jégkrém előállító </w:t>
      </w:r>
      <w:r w:rsidR="00CF26A3">
        <w:t>11</w:t>
      </w:r>
      <w:r>
        <w:t xml:space="preserve">, üdítőital előállító </w:t>
      </w:r>
      <w:r w:rsidR="00CF26A3">
        <w:t>48</w:t>
      </w:r>
      <w:r>
        <w:t xml:space="preserve">, egyéb előállító </w:t>
      </w:r>
      <w:r w:rsidR="00CF26A3">
        <w:t>661</w:t>
      </w:r>
      <w:r>
        <w:t>).</w:t>
      </w:r>
    </w:p>
    <w:p w:rsidR="00691D75" w:rsidRDefault="00DE0EDE">
      <w:r>
        <w:t>A</w:t>
      </w:r>
      <w:r w:rsidR="00771CC1">
        <w:t>z</w:t>
      </w:r>
      <w:r>
        <w:t xml:space="preserve"> élelmiszer előállító létesítmény</w:t>
      </w:r>
      <w:r w:rsidR="00771CC1">
        <w:t>ek</w:t>
      </w:r>
      <w:r>
        <w:t xml:space="preserve"> esetében (</w:t>
      </w:r>
      <w:r w:rsidRPr="00DE0EDE">
        <w:t>vágóhidak, darabolók</w:t>
      </w:r>
      <w:r>
        <w:t xml:space="preserve">, </w:t>
      </w:r>
      <w:r w:rsidRPr="00DE0EDE">
        <w:t>húskészítmény előállító</w:t>
      </w:r>
      <w:r>
        <w:t xml:space="preserve">k, üdítőital gyártók) </w:t>
      </w:r>
      <w:r w:rsidRPr="00DE0EDE">
        <w:t xml:space="preserve">néhány esetben higiéniai </w:t>
      </w:r>
      <w:r>
        <w:t xml:space="preserve">illetve nyomon-követési </w:t>
      </w:r>
      <w:r w:rsidRPr="00DE0EDE">
        <w:t>hiányosságot tapasztalt a hatóság</w:t>
      </w:r>
      <w:r>
        <w:t xml:space="preserve">, ezért </w:t>
      </w:r>
      <w:r w:rsidRPr="00DE0EDE">
        <w:t>szankcióként figyelmeztetést és bírságot alkalmazott</w:t>
      </w:r>
      <w:r>
        <w:t xml:space="preserve">. </w:t>
      </w:r>
    </w:p>
    <w:p w:rsidR="009B5CA3" w:rsidRDefault="009B5CA3"/>
    <w:p w:rsidR="009F03F9" w:rsidRDefault="009F03F9"/>
    <w:p w:rsidR="00610F25" w:rsidRPr="00610F25" w:rsidRDefault="00610F25">
      <w:pPr>
        <w:rPr>
          <w:b/>
          <w:u w:val="single"/>
        </w:rPr>
      </w:pPr>
      <w:r w:rsidRPr="00610F25">
        <w:rPr>
          <w:b/>
          <w:u w:val="single"/>
        </w:rPr>
        <w:lastRenderedPageBreak/>
        <w:t>Élelmiszer-kereskedelem</w:t>
      </w:r>
    </w:p>
    <w:p w:rsidR="009F03F9" w:rsidRDefault="009F03F9"/>
    <w:p w:rsidR="009B5CA3" w:rsidRDefault="005A34EC">
      <w:r>
        <w:t xml:space="preserve">A kereskedelemben összesen </w:t>
      </w:r>
      <w:r w:rsidR="00D371A6">
        <w:t>4832</w:t>
      </w:r>
      <w:r>
        <w:t xml:space="preserve"> ellenőrzésre került sor, melyek helyszíne </w:t>
      </w:r>
      <w:r w:rsidR="00D371A6">
        <w:t>323</w:t>
      </w:r>
      <w:r>
        <w:t xml:space="preserve"> esetben hiper/szupermarket, </w:t>
      </w:r>
      <w:r w:rsidR="006833A5">
        <w:t>2774</w:t>
      </w:r>
      <w:r>
        <w:t xml:space="preserve"> esetben üzlet/szaküzlet, </w:t>
      </w:r>
      <w:r w:rsidR="006833A5">
        <w:t>325</w:t>
      </w:r>
      <w:r w:rsidR="00095E37" w:rsidRPr="00095E37">
        <w:t xml:space="preserve"> esetben</w:t>
      </w:r>
      <w:r>
        <w:t xml:space="preserve"> vásár-piac, </w:t>
      </w:r>
      <w:r w:rsidR="006833A5">
        <w:t>247</w:t>
      </w:r>
      <w:r w:rsidR="00095E37" w:rsidRPr="00095E37">
        <w:t xml:space="preserve"> esetben</w:t>
      </w:r>
      <w:r>
        <w:t xml:space="preserve"> nagykereskedelmi</w:t>
      </w:r>
      <w:r w:rsidR="005C46D7">
        <w:t>/logisztikai</w:t>
      </w:r>
      <w:r>
        <w:t xml:space="preserve"> egység, </w:t>
      </w:r>
      <w:r w:rsidR="006833A5">
        <w:t>415</w:t>
      </w:r>
      <w:r w:rsidR="00095E37" w:rsidRPr="00095E37">
        <w:t xml:space="preserve"> esetben</w:t>
      </w:r>
      <w:r>
        <w:t xml:space="preserve"> szezonális árusító hely, és </w:t>
      </w:r>
      <w:r w:rsidR="006833A5">
        <w:t>748</w:t>
      </w:r>
      <w:r>
        <w:t xml:space="preserve"> </w:t>
      </w:r>
      <w:r w:rsidR="00095E37" w:rsidRPr="00095E37">
        <w:t xml:space="preserve">esetben </w:t>
      </w:r>
      <w:r w:rsidR="00095E37">
        <w:t xml:space="preserve">pedig </w:t>
      </w:r>
      <w:r>
        <w:t>más kereskedelmi egység volt.</w:t>
      </w:r>
    </w:p>
    <w:p w:rsidR="005A34EC" w:rsidRDefault="006E5A4C">
      <w:r>
        <w:t xml:space="preserve">A fenti ellenőrzések eredménye alapján leggyakoribb hiányosság a </w:t>
      </w:r>
      <w:r w:rsidRPr="00740D5C">
        <w:rPr>
          <w:i/>
        </w:rPr>
        <w:t>hiper/szupermarketekben</w:t>
      </w:r>
      <w:r w:rsidR="00740D5C">
        <w:t xml:space="preserve"> </w:t>
      </w:r>
      <w:r>
        <w:t xml:space="preserve">a termékek minőségével, az </w:t>
      </w:r>
      <w:r w:rsidRPr="00740D5C">
        <w:rPr>
          <w:i/>
        </w:rPr>
        <w:t>üzletekben</w:t>
      </w:r>
      <w:r>
        <w:t xml:space="preserve"> a higiéniai feltételekkel</w:t>
      </w:r>
      <w:r w:rsidRPr="00740D5C">
        <w:rPr>
          <w:i/>
        </w:rPr>
        <w:t>, vásári-piaci</w:t>
      </w:r>
      <w:r>
        <w:t xml:space="preserve"> árusításnál </w:t>
      </w:r>
      <w:r w:rsidR="005D0E73">
        <w:t xml:space="preserve">valamint a </w:t>
      </w:r>
      <w:r w:rsidRPr="00740D5C">
        <w:rPr>
          <w:i/>
        </w:rPr>
        <w:t>nagykereskedelmi egységekbe</w:t>
      </w:r>
      <w:r w:rsidR="00157C0F" w:rsidRPr="00740D5C">
        <w:rPr>
          <w:i/>
        </w:rPr>
        <w:t>n</w:t>
      </w:r>
      <w:r w:rsidRPr="00740D5C">
        <w:rPr>
          <w:i/>
        </w:rPr>
        <w:t xml:space="preserve"> és logisztikai központokban</w:t>
      </w:r>
      <w:r>
        <w:t xml:space="preserve"> a </w:t>
      </w:r>
      <w:r w:rsidR="000E715C">
        <w:t>nyomon-követhetőséggel</w:t>
      </w:r>
      <w:r>
        <w:t xml:space="preserve"> kapcsolatban merült fel. A </w:t>
      </w:r>
      <w:r w:rsidRPr="00740D5C">
        <w:rPr>
          <w:i/>
        </w:rPr>
        <w:t>szezonális árusító helyeken</w:t>
      </w:r>
      <w:r>
        <w:t xml:space="preserve"> főleg a termékek minőségével, és a </w:t>
      </w:r>
      <w:r w:rsidR="00A1500C" w:rsidRPr="00A1500C">
        <w:t>nyomon-követhetőséggel</w:t>
      </w:r>
      <w:r>
        <w:t xml:space="preserve"> kapcsolatban merültek fel hiányosságok.</w:t>
      </w:r>
    </w:p>
    <w:p w:rsidR="006E5A4C" w:rsidRDefault="00157C0F">
      <w:r>
        <w:t>A</w:t>
      </w:r>
      <w:r w:rsidR="006E5A4C">
        <w:t>z eddigi ellenőrzések alapján</w:t>
      </w:r>
      <w:r>
        <w:t xml:space="preserve"> </w:t>
      </w:r>
      <w:r w:rsidR="006E5A4C">
        <w:t>megállapítható, hogy</w:t>
      </w:r>
      <w:r>
        <w:t xml:space="preserve"> a </w:t>
      </w:r>
      <w:r w:rsidRPr="00740D5C">
        <w:rPr>
          <w:b/>
        </w:rPr>
        <w:t>hűtési lánc</w:t>
      </w:r>
      <w:r>
        <w:t xml:space="preserve"> fenntartása</w:t>
      </w:r>
      <w:r w:rsidR="00C116D9">
        <w:t xml:space="preserve"> nem volt megfelelő </w:t>
      </w:r>
      <w:r w:rsidR="00C116D9" w:rsidRPr="00C116D9">
        <w:t>az üzleteknél</w:t>
      </w:r>
      <w:r w:rsidR="005C46D7" w:rsidRPr="005C46D7">
        <w:t xml:space="preserve"> </w:t>
      </w:r>
      <w:r>
        <w:t xml:space="preserve">az ellenőrzések </w:t>
      </w:r>
      <w:r w:rsidR="005D0E73">
        <w:t>1,</w:t>
      </w:r>
      <w:r w:rsidR="00F61C28">
        <w:t>4</w:t>
      </w:r>
      <w:r>
        <w:t xml:space="preserve"> %-ában</w:t>
      </w:r>
      <w:r w:rsidR="00FD157E">
        <w:t xml:space="preserve">. A </w:t>
      </w:r>
      <w:r w:rsidR="00FD157E" w:rsidRPr="00740D5C">
        <w:rPr>
          <w:b/>
        </w:rPr>
        <w:t>higiéniai hiányosságok</w:t>
      </w:r>
      <w:r w:rsidR="003D4335">
        <w:rPr>
          <w:b/>
        </w:rPr>
        <w:t xml:space="preserve"> </w:t>
      </w:r>
      <w:r w:rsidR="003D4335" w:rsidRPr="003D4335">
        <w:t>is</w:t>
      </w:r>
      <w:r w:rsidR="00FD157E" w:rsidRPr="003D4335">
        <w:t xml:space="preserve"> </w:t>
      </w:r>
      <w:r w:rsidR="00FD157E">
        <w:t xml:space="preserve">jellemzően az üzleteknél tapasztalhatóak (ellenőrzések </w:t>
      </w:r>
      <w:r w:rsidR="00330945">
        <w:t>3,</w:t>
      </w:r>
      <w:r w:rsidR="00F61C28">
        <w:t>6</w:t>
      </w:r>
      <w:r w:rsidR="00FD157E">
        <w:t xml:space="preserve"> %-a). A termékek </w:t>
      </w:r>
      <w:r w:rsidR="00FD157E" w:rsidRPr="00740D5C">
        <w:rPr>
          <w:b/>
        </w:rPr>
        <w:t>nyomon-követhetőség</w:t>
      </w:r>
      <w:r w:rsidR="00FD157E">
        <w:t xml:space="preserve">e a </w:t>
      </w:r>
      <w:r w:rsidR="00FD157E" w:rsidRPr="00157C0F">
        <w:t>nagykereskedelmi egységekbe</w:t>
      </w:r>
      <w:r w:rsidR="00FD157E">
        <w:t>n,</w:t>
      </w:r>
      <w:r w:rsidR="00FD157E" w:rsidRPr="00157C0F">
        <w:t xml:space="preserve"> logisztikai központokban</w:t>
      </w:r>
      <w:r w:rsidR="00FD157E">
        <w:t xml:space="preserve"> (</w:t>
      </w:r>
      <w:r w:rsidR="00F61C28">
        <w:t>11,7</w:t>
      </w:r>
      <w:r w:rsidR="00FD157E">
        <w:t xml:space="preserve"> %) és a vásári-piaci forgalmazás során (</w:t>
      </w:r>
      <w:r w:rsidR="00F61C28">
        <w:t>4,3</w:t>
      </w:r>
      <w:r w:rsidR="00884DB6">
        <w:t xml:space="preserve"> </w:t>
      </w:r>
      <w:r w:rsidR="00FD157E">
        <w:t xml:space="preserve">%) nem volt kielégítő. </w:t>
      </w:r>
      <w:r w:rsidR="00123AFE">
        <w:t xml:space="preserve">A </w:t>
      </w:r>
      <w:r w:rsidR="00123AFE" w:rsidRPr="00123AFE">
        <w:t xml:space="preserve">dolgozók </w:t>
      </w:r>
      <w:r w:rsidR="00123AFE" w:rsidRPr="00740D5C">
        <w:rPr>
          <w:b/>
        </w:rPr>
        <w:t>egészségügyi alkalmasságával, képzettségével</w:t>
      </w:r>
      <w:r w:rsidR="00123AFE" w:rsidRPr="00123AFE">
        <w:t xml:space="preserve"> kapcsolatban </w:t>
      </w:r>
      <w:r w:rsidR="00123AFE">
        <w:t xml:space="preserve">a szezonális árusító helyeken az ellenőrzések </w:t>
      </w:r>
      <w:r w:rsidR="007D1E9E">
        <w:t>1,</w:t>
      </w:r>
      <w:r w:rsidR="00F61C28">
        <w:t>2</w:t>
      </w:r>
      <w:r w:rsidR="007D1E9E">
        <w:t xml:space="preserve"> </w:t>
      </w:r>
      <w:r w:rsidR="00123AFE">
        <w:t>%-ában, az üzleteknél 1,</w:t>
      </w:r>
      <w:r w:rsidR="00F61C28">
        <w:t>4</w:t>
      </w:r>
      <w:r w:rsidR="00123AFE">
        <w:t xml:space="preserve"> %-ban </w:t>
      </w:r>
      <w:r w:rsidR="00123AFE" w:rsidRPr="00123AFE">
        <w:t>merültek fel hiányosságok.</w:t>
      </w:r>
      <w:r w:rsidR="00376320">
        <w:t xml:space="preserve"> A forgalmazott </w:t>
      </w:r>
      <w:r w:rsidR="00376320" w:rsidRPr="00740D5C">
        <w:rPr>
          <w:b/>
        </w:rPr>
        <w:t>termékek minőségére</w:t>
      </w:r>
      <w:r w:rsidR="00376320">
        <w:t xml:space="preserve"> vonatkozó problémát </w:t>
      </w:r>
      <w:r w:rsidR="005C46D7">
        <w:t xml:space="preserve">leginkább </w:t>
      </w:r>
      <w:r w:rsidR="00376320">
        <w:t>a</w:t>
      </w:r>
      <w:r w:rsidR="00F61C28">
        <w:t xml:space="preserve"> </w:t>
      </w:r>
      <w:r w:rsidR="00F61C28" w:rsidRPr="00F61C28">
        <w:t>nagykereskedelmi egységekben, logisztikai központokban (1</w:t>
      </w:r>
      <w:r w:rsidR="00F61C28">
        <w:t>0</w:t>
      </w:r>
      <w:r w:rsidR="00F61C28" w:rsidRPr="00F61C28">
        <w:t>,</w:t>
      </w:r>
      <w:r w:rsidR="00F61C28">
        <w:t>9</w:t>
      </w:r>
      <w:r w:rsidR="00F61C28" w:rsidRPr="00F61C28">
        <w:t xml:space="preserve"> %)</w:t>
      </w:r>
      <w:r w:rsidR="00F61C28">
        <w:t xml:space="preserve"> és a </w:t>
      </w:r>
      <w:r w:rsidR="005C46D7" w:rsidRPr="005C46D7">
        <w:t>hiper/szupermarketekben</w:t>
      </w:r>
      <w:r w:rsidR="005C46D7">
        <w:t xml:space="preserve"> (</w:t>
      </w:r>
      <w:r w:rsidR="00F61C28">
        <w:t xml:space="preserve">7,4 </w:t>
      </w:r>
      <w:r w:rsidR="005C46D7">
        <w:t>%) tapasztal</w:t>
      </w:r>
      <w:r w:rsidR="00150F4F">
        <w:t>t</w:t>
      </w:r>
      <w:r w:rsidR="005C46D7">
        <w:t xml:space="preserve"> a hatóság</w:t>
      </w:r>
      <w:r w:rsidR="0012668F">
        <w:t>.</w:t>
      </w:r>
    </w:p>
    <w:p w:rsidR="00A67150" w:rsidRDefault="00A67150"/>
    <w:p w:rsidR="00691D75" w:rsidRDefault="00A67150">
      <w:r>
        <w:t>A</w:t>
      </w:r>
      <w:r w:rsidR="00A71A34">
        <w:t xml:space="preserve"> </w:t>
      </w:r>
      <w:r w:rsidR="00A71A34" w:rsidRPr="00A71A34">
        <w:rPr>
          <w:b/>
        </w:rPr>
        <w:t>július 1.</w:t>
      </w:r>
      <w:r w:rsidR="00937AF0">
        <w:rPr>
          <w:b/>
        </w:rPr>
        <w:t xml:space="preserve"> és augusztus 31.</w:t>
      </w:r>
      <w:r w:rsidR="00A71A34" w:rsidRPr="00A71A34">
        <w:rPr>
          <w:b/>
        </w:rPr>
        <w:t xml:space="preserve"> között</w:t>
      </w:r>
      <w:r w:rsidR="00A71A34" w:rsidRPr="00A71A34">
        <w:t>i</w:t>
      </w:r>
      <w:r>
        <w:t xml:space="preserve"> időszakban elvégzett ellenőrzések alkalmával forgalomból kivont élelmiszerek adatai az alábbiak:</w:t>
      </w:r>
    </w:p>
    <w:p w:rsidR="00A67150" w:rsidRDefault="00A67150"/>
    <w:p w:rsidR="009F7DB4" w:rsidRDefault="009F7DB4"/>
    <w:p w:rsidR="00610F25" w:rsidRDefault="00937AF0" w:rsidP="005369CC">
      <w:pPr>
        <w:jc w:val="center"/>
      </w:pPr>
      <w:r w:rsidRPr="00937AF0">
        <w:drawing>
          <wp:inline distT="0" distB="0" distL="0" distR="0">
            <wp:extent cx="3444240" cy="1363980"/>
            <wp:effectExtent l="19050" t="0" r="3810" b="0"/>
            <wp:docPr id="5"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444240" cy="1363980"/>
                    </a:xfrm>
                    <a:prstGeom prst="rect">
                      <a:avLst/>
                    </a:prstGeom>
                    <a:noFill/>
                    <a:ln w="9525">
                      <a:noFill/>
                      <a:miter lim="800000"/>
                      <a:headEnd/>
                      <a:tailEnd/>
                    </a:ln>
                  </pic:spPr>
                </pic:pic>
              </a:graphicData>
            </a:graphic>
          </wp:inline>
        </w:drawing>
      </w:r>
    </w:p>
    <w:p w:rsidR="009F3C8C" w:rsidRDefault="009F3C8C" w:rsidP="005369CC">
      <w:pPr>
        <w:jc w:val="center"/>
      </w:pPr>
    </w:p>
    <w:p w:rsidR="009F7DB4" w:rsidRDefault="009F7DB4" w:rsidP="005369CC">
      <w:pPr>
        <w:jc w:val="center"/>
      </w:pPr>
    </w:p>
    <w:p w:rsidR="004B420C" w:rsidRDefault="004B420C" w:rsidP="004B420C">
      <w:r w:rsidRPr="0021458B">
        <w:t xml:space="preserve">A fenti adatok szerint az összes ellenőrzött tétel </w:t>
      </w:r>
      <w:r w:rsidR="00C91BCD" w:rsidRPr="0021458B">
        <w:t>1,</w:t>
      </w:r>
      <w:r w:rsidR="00864002">
        <w:t>98</w:t>
      </w:r>
      <w:r w:rsidR="00C91BCD" w:rsidRPr="0021458B">
        <w:t xml:space="preserve"> %-át, </w:t>
      </w:r>
      <w:r w:rsidR="00170333">
        <w:t>39,9</w:t>
      </w:r>
      <w:r w:rsidR="00C91BCD" w:rsidRPr="0021458B">
        <w:t xml:space="preserve"> tonna mennyiségben (értéke </w:t>
      </w:r>
      <w:r w:rsidR="00170333">
        <w:t>9,1</w:t>
      </w:r>
      <w:r w:rsidR="00C91BCD" w:rsidRPr="0021458B">
        <w:t xml:space="preserve"> millió Ft) kellett kivonni a forgalomból. A hazai termékek esetében az arány </w:t>
      </w:r>
      <w:r w:rsidR="00864002">
        <w:t>2,1</w:t>
      </w:r>
      <w:r w:rsidR="00444232">
        <w:t xml:space="preserve"> </w:t>
      </w:r>
      <w:r w:rsidR="00FA76D7" w:rsidRPr="0021458B">
        <w:t xml:space="preserve">%, míg a külföldi élelmiszereknél </w:t>
      </w:r>
      <w:r w:rsidR="0021458B" w:rsidRPr="0021458B">
        <w:t>1,</w:t>
      </w:r>
      <w:r w:rsidR="00864002">
        <w:t>4</w:t>
      </w:r>
      <w:r w:rsidR="00444232">
        <w:t xml:space="preserve"> </w:t>
      </w:r>
      <w:r w:rsidR="00FA76D7" w:rsidRPr="0021458B">
        <w:t>%</w:t>
      </w:r>
      <w:r w:rsidR="00F240CE">
        <w:t xml:space="preserve"> volt</w:t>
      </w:r>
      <w:r w:rsidR="00FA76D7" w:rsidRPr="0021458B">
        <w:t>.</w:t>
      </w:r>
    </w:p>
    <w:p w:rsidR="00FA76D7" w:rsidRDefault="00FA76D7" w:rsidP="004B420C"/>
    <w:p w:rsidR="009F7DB4" w:rsidRDefault="009F7DB4" w:rsidP="004B420C"/>
    <w:p w:rsidR="00610F25" w:rsidRPr="00610F25" w:rsidRDefault="00610F25" w:rsidP="00610F25">
      <w:pPr>
        <w:rPr>
          <w:b/>
          <w:u w:val="single"/>
        </w:rPr>
      </w:pPr>
      <w:r w:rsidRPr="00610F25">
        <w:rPr>
          <w:b/>
          <w:u w:val="single"/>
        </w:rPr>
        <w:t>Zöldség-gyümölcs</w:t>
      </w:r>
    </w:p>
    <w:p w:rsidR="009F03F9" w:rsidRDefault="009F03F9" w:rsidP="00610F25"/>
    <w:p w:rsidR="00B95AD8" w:rsidRDefault="00B95AD8" w:rsidP="00B95AD8">
      <w:r>
        <w:t>A zöldség-gyümölcs ellenőrzés területén a hatóság kiemelt figyelmet fordított a nyári szezonális termékek ellenőrzésére,</w:t>
      </w:r>
      <w:r w:rsidRPr="001B61EB">
        <w:t xml:space="preserve"> </w:t>
      </w:r>
      <w:r>
        <w:t xml:space="preserve">ezen belül elsősorban a görögdinnyére. Az ellenőrzések során a forgalmazási minőség szabványoknak való megfelelés ellenőrzése mellett kiemelt figyelmet kapott </w:t>
      </w:r>
      <w:r>
        <w:rPr>
          <w:rFonts w:ascii="TimesNewRomanPSMT" w:hAnsi="TimesNewRomanPSMT" w:cs="TimesNewRomanPSMT"/>
        </w:rPr>
        <w:t>a nyomon-követhetőség és a származás megfelelő jelölése, különös figyelemmel a termék származására, illetve a származás bizonyítására</w:t>
      </w:r>
      <w:r>
        <w:t>, vagyis az ellenőrök igyekeznek felderíteni az olyan eseteket, amikor az import termékek hazaiként kerülnek forgalomba.</w:t>
      </w:r>
      <w:r w:rsidRPr="008F41A0">
        <w:t xml:space="preserve"> </w:t>
      </w:r>
      <w:r>
        <w:t xml:space="preserve">Az elmúlt évek ráirányították a figyelmet a zöldség és gyümölcs termékek származására, különös figyelemmel annak meghamisítására. A probléma nem új keletű, de az </w:t>
      </w:r>
      <w:r>
        <w:lastRenderedPageBreak/>
        <w:t>ellenőrző hatóság szakmai vezetése és a Terméktanács egyetértett abban, hogy most különösen szükség van ezen a téren az ellenőrzés szigorítására.</w:t>
      </w:r>
    </w:p>
    <w:p w:rsidR="00B95AD8" w:rsidRDefault="00B95AD8" w:rsidP="00B95AD8"/>
    <w:p w:rsidR="00B95AD8" w:rsidRDefault="00B95AD8" w:rsidP="00B95AD8">
      <w:r>
        <w:t>A kistermelői piacokon és alkalmi árusítóhelyeken a hatóság elsősorban azokat a forgalmazókat ellenőrizte, akik magukat őstermelőként deklarálták, de az általuk forgalmazott termék jelöletlen volt és bizonylatok alapján, a termék nyomon követhetősége megkérdőjelezhető volt.</w:t>
      </w:r>
    </w:p>
    <w:p w:rsidR="00B95AD8" w:rsidRDefault="00B95AD8" w:rsidP="00B95AD8"/>
    <w:p w:rsidR="00B95AD8" w:rsidRPr="00B208BF" w:rsidRDefault="00B95AD8" w:rsidP="00B95AD8">
      <w:pPr>
        <w:pStyle w:val="Listaszerbekezds"/>
        <w:ind w:left="0"/>
        <w:jc w:val="both"/>
        <w:rPr>
          <w:rFonts w:ascii="Times New Roman" w:hAnsi="Times New Roman"/>
          <w:bCs/>
          <w:sz w:val="24"/>
          <w:szCs w:val="24"/>
        </w:rPr>
      </w:pPr>
      <w:r w:rsidRPr="00B208BF">
        <w:rPr>
          <w:rFonts w:ascii="Times New Roman" w:hAnsi="Times New Roman"/>
          <w:sz w:val="24"/>
          <w:szCs w:val="24"/>
        </w:rPr>
        <w:t>A termékellenőrzések mellett a csomagolóhelyek higiéniai megfelelőségének vizsgálatai is megkezdődtek. Az ellenőrzések során feltárt hiányosságokat (pl. alapvető higiéniás hiányok, poros szennyezett padlózat stb.) az ügyfelek eddig mindenesetben a figyelmeztetések hatására megszüntették.</w:t>
      </w:r>
    </w:p>
    <w:p w:rsidR="00B95AD8" w:rsidRDefault="00B95AD8" w:rsidP="00B95AD8"/>
    <w:p w:rsidR="00B95AD8" w:rsidRDefault="00B95AD8" w:rsidP="00B95AD8">
      <w:pPr>
        <w:rPr>
          <w:szCs w:val="24"/>
        </w:rPr>
      </w:pPr>
      <w:r w:rsidRPr="00E91A25">
        <w:rPr>
          <w:szCs w:val="24"/>
        </w:rPr>
        <w:t xml:space="preserve">Az adott időszakban </w:t>
      </w:r>
      <w:r>
        <w:rPr>
          <w:szCs w:val="24"/>
        </w:rPr>
        <w:t xml:space="preserve">a zöldség-gyümölcs ellenőrök 969 forgalmazónál 1 426 hazai és 440 külföldi eredetű tételt vizsgáltak meg. Az ellenőrzött 1 866 tételből 193 esetben indult hatósági eljárás minőségi kifogások, illetve a nyomon követőség megsértése miatt. A kiszabott 173 bírság együttes mértéke 30,3 millió forint volt. </w:t>
      </w:r>
    </w:p>
    <w:p w:rsidR="00B95AD8" w:rsidRDefault="00B95AD8" w:rsidP="00B95AD8"/>
    <w:p w:rsidR="00B95AD8" w:rsidRDefault="00B95AD8" w:rsidP="00B95AD8">
      <w:pPr>
        <w:rPr>
          <w:szCs w:val="24"/>
        </w:rPr>
      </w:pPr>
      <w:r>
        <w:t>Július első hetében indult a hazai előállítású görögdinnye belföldi forgalmazása, illetve megkezdődött a termék kivitele is a külpiacok irányába. Ezzel egy időben azonban továbbra is ha csökkenő mértékben is, de érkezett import, leginkább Görögországból, Olaszországból és Macedóniából.</w:t>
      </w:r>
      <w:r w:rsidRPr="007E3296">
        <w:rPr>
          <w:szCs w:val="24"/>
        </w:rPr>
        <w:t xml:space="preserve"> </w:t>
      </w:r>
      <w:r w:rsidRPr="000B43B0">
        <w:rPr>
          <w:szCs w:val="24"/>
        </w:rPr>
        <w:t xml:space="preserve">A </w:t>
      </w:r>
      <w:r w:rsidRPr="000B43B0">
        <w:t xml:space="preserve">dinnye ellenőrzések </w:t>
      </w:r>
      <w:r w:rsidR="000B43B0" w:rsidRPr="000B43B0">
        <w:t xml:space="preserve">belföldi forgalmazóknál, kis- </w:t>
      </w:r>
      <w:r w:rsidRPr="000B43B0">
        <w:t>és őstermelőknél, valamint import forgalmazóknál történtek.</w:t>
      </w:r>
      <w:r>
        <w:t xml:space="preserve"> </w:t>
      </w:r>
      <w:r>
        <w:rPr>
          <w:szCs w:val="24"/>
        </w:rPr>
        <w:t xml:space="preserve">Az összesen </w:t>
      </w:r>
      <w:r w:rsidRPr="007E3296">
        <w:rPr>
          <w:szCs w:val="24"/>
        </w:rPr>
        <w:t>680</w:t>
      </w:r>
      <w:r>
        <w:rPr>
          <w:szCs w:val="24"/>
        </w:rPr>
        <w:t xml:space="preserve"> vizsgált tételből 37 esetben került sor minőségi kifogás, illetve nyomon-követhetőség megsértése miatt bírság kiszabására összesen </w:t>
      </w:r>
      <w:r w:rsidRPr="007E3296">
        <w:rPr>
          <w:szCs w:val="24"/>
        </w:rPr>
        <w:t>3</w:t>
      </w:r>
      <w:r>
        <w:rPr>
          <w:szCs w:val="24"/>
        </w:rPr>
        <w:t> </w:t>
      </w:r>
      <w:r w:rsidRPr="007E3296">
        <w:rPr>
          <w:szCs w:val="24"/>
        </w:rPr>
        <w:t>038</w:t>
      </w:r>
      <w:r>
        <w:rPr>
          <w:szCs w:val="24"/>
        </w:rPr>
        <w:t> </w:t>
      </w:r>
      <w:r w:rsidRPr="007E3296">
        <w:rPr>
          <w:szCs w:val="24"/>
        </w:rPr>
        <w:t>030</w:t>
      </w:r>
      <w:r>
        <w:rPr>
          <w:szCs w:val="24"/>
        </w:rPr>
        <w:t>Ft mértékben. A hazai termesztésű dinnye minősége az esetek döntő többségében megfelelő, illetve kiváló volt.</w:t>
      </w:r>
    </w:p>
    <w:p w:rsidR="00B95AD8" w:rsidRDefault="00B95AD8" w:rsidP="00B95AD8">
      <w:pPr>
        <w:rPr>
          <w:szCs w:val="24"/>
        </w:rPr>
      </w:pPr>
    </w:p>
    <w:p w:rsidR="00B95AD8" w:rsidRDefault="00B95AD8" w:rsidP="00B95AD8">
      <w:pPr>
        <w:jc w:val="center"/>
        <w:rPr>
          <w:szCs w:val="24"/>
        </w:rPr>
      </w:pPr>
      <w:r w:rsidRPr="003F6F63">
        <w:rPr>
          <w:noProof/>
          <w:szCs w:val="24"/>
          <w:lang w:eastAsia="hu-HU"/>
        </w:rPr>
        <w:drawing>
          <wp:inline distT="0" distB="0" distL="0" distR="0">
            <wp:extent cx="3877310" cy="1332865"/>
            <wp:effectExtent l="19050" t="0" r="8890" b="0"/>
            <wp:docPr id="2"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877310" cy="1332865"/>
                    </a:xfrm>
                    <a:prstGeom prst="rect">
                      <a:avLst/>
                    </a:prstGeom>
                    <a:noFill/>
                    <a:ln w="9525">
                      <a:noFill/>
                      <a:miter lim="800000"/>
                      <a:headEnd/>
                      <a:tailEnd/>
                    </a:ln>
                  </pic:spPr>
                </pic:pic>
              </a:graphicData>
            </a:graphic>
          </wp:inline>
        </w:drawing>
      </w:r>
    </w:p>
    <w:p w:rsidR="00B95AD8" w:rsidRDefault="00B95AD8" w:rsidP="00B95AD8">
      <w:pPr>
        <w:pStyle w:val="NormlWeb"/>
        <w:jc w:val="both"/>
      </w:pPr>
      <w:r>
        <w:t xml:space="preserve">Az adott időszak kiemelkedő eseménye volt a több nagybani piacon (Szeged, Budapest) és termelői piacokon (Gyöngyös, Esztergom, Makó, Szeged, Hódmezővásárhely, Kistelek) végrehajtott ellenőrzés. Ebből a legnagyobb horderejű esemény a két alkalommal koordináltan, több hatóság és testület részvételével és közreműködésével végrehajtott átfogó ellenőrzés a Budapest Nagybani Piacon, augusztus 1-jén és augusztus 15-én éjjel. Az ellenőrzések legfőbb célja a rossz minőségű, valamint az eredet-megjelölés nélküli, illetve hazai áruként feltüntetett, külföldi termék kiszűrése volt. </w:t>
      </w:r>
    </w:p>
    <w:p w:rsidR="00B95AD8" w:rsidRDefault="00B95AD8" w:rsidP="00B95AD8">
      <w:pPr>
        <w:pStyle w:val="NormlWeb"/>
        <w:jc w:val="both"/>
      </w:pPr>
      <w:r>
        <w:t>Az augusztusi 1-jén végrehajtott ellenőrzés során az ellenőrök összesen 12,1 tonna görög és macedón dinnyét, vizsgáltak meg. Ebből összesen 9 600 kg görögdinnyét a helyszínen megsemmisítettek ismeretlen eredet és a megjelölés hiányossága miatt. Az ellenőrzés során a továbbiakban még 2 030 kg nektarin, 400 kg paradicsom és 390 kg paprika forgalmi korlátozását rendelték el. A kiszabott élelmiszer-ellenőrzési bírság mértéke 3 163 </w:t>
      </w:r>
      <w:r w:rsidRPr="00A33D3B">
        <w:t>720</w:t>
      </w:r>
      <w:r>
        <w:t xml:space="preserve"> Ft. </w:t>
      </w:r>
    </w:p>
    <w:p w:rsidR="00B95AD8" w:rsidRDefault="00B95AD8" w:rsidP="00B95AD8">
      <w:pPr>
        <w:pStyle w:val="Csakszveg"/>
        <w:jc w:val="both"/>
        <w:rPr>
          <w:rFonts w:ascii="Times New Roman" w:eastAsia="Times New Roman" w:hAnsi="Times New Roman" w:cs="Times New Roman"/>
          <w:sz w:val="24"/>
          <w:szCs w:val="24"/>
          <w:lang w:eastAsia="hu-HU"/>
        </w:rPr>
      </w:pPr>
      <w:r w:rsidRPr="00C92876">
        <w:rPr>
          <w:rFonts w:ascii="Times New Roman" w:eastAsia="Times New Roman" w:hAnsi="Times New Roman" w:cs="Times New Roman"/>
          <w:sz w:val="24"/>
          <w:szCs w:val="24"/>
          <w:lang w:eastAsia="hu-HU"/>
        </w:rPr>
        <w:lastRenderedPageBreak/>
        <w:t>Az augusztus 15-én végrehajtott ellenőrzés során</w:t>
      </w:r>
      <w:r>
        <w:rPr>
          <w:rFonts w:ascii="Times New Roman" w:eastAsia="Times New Roman" w:hAnsi="Times New Roman" w:cs="Times New Roman"/>
          <w:sz w:val="24"/>
          <w:szCs w:val="24"/>
          <w:lang w:eastAsia="hu-HU"/>
        </w:rPr>
        <w:t xml:space="preserve"> 9 tétel mintegy 27,5 tonna ismeretlen eredetű származás és eredet tekintetében nyomon-követhetetlen termék (4 őszibarack, 2 nektarin, 1 kínai kel és 2 saláta) megsemmisítésre került, továbbá 33,7 tonna görögdinnye került forgalmi korlátozás mellett zárolásra. Jelölés hiánya miatt további öt tétel (2 őszibarack, és egy-egy nektarin vöröshagyma és fejes saláta) összesen 6.4 tonna áru esetében indult hatósági eljárás.</w:t>
      </w:r>
      <w:r w:rsidRPr="00AC377D">
        <w:t xml:space="preserve"> </w:t>
      </w:r>
      <w:r w:rsidRPr="004B5B59">
        <w:rPr>
          <w:rFonts w:ascii="Times New Roman" w:eastAsia="Times New Roman" w:hAnsi="Times New Roman" w:cs="Times New Roman"/>
          <w:sz w:val="24"/>
          <w:szCs w:val="24"/>
          <w:lang w:eastAsia="hu-HU"/>
        </w:rPr>
        <w:t xml:space="preserve">A kiszabott bírság mértéke </w:t>
      </w:r>
      <w:r>
        <w:rPr>
          <w:rFonts w:ascii="Times New Roman" w:eastAsia="Times New Roman" w:hAnsi="Times New Roman" w:cs="Times New Roman"/>
          <w:sz w:val="24"/>
          <w:szCs w:val="24"/>
          <w:lang w:eastAsia="hu-HU"/>
        </w:rPr>
        <w:t>17 189 400 F</w:t>
      </w:r>
      <w:r w:rsidRPr="004B5B59">
        <w:rPr>
          <w:rFonts w:ascii="Times New Roman" w:eastAsia="Times New Roman" w:hAnsi="Times New Roman" w:cs="Times New Roman"/>
          <w:sz w:val="24"/>
          <w:szCs w:val="24"/>
          <w:lang w:eastAsia="hu-HU"/>
        </w:rPr>
        <w:t xml:space="preserve">t. </w:t>
      </w:r>
    </w:p>
    <w:p w:rsidR="00B95AD8" w:rsidRDefault="00B95AD8" w:rsidP="00B95AD8">
      <w:pPr>
        <w:pStyle w:val="Csakszveg"/>
        <w:jc w:val="both"/>
        <w:rPr>
          <w:rFonts w:ascii="Times New Roman" w:eastAsia="Times New Roman" w:hAnsi="Times New Roman" w:cs="Times New Roman"/>
          <w:sz w:val="24"/>
          <w:szCs w:val="24"/>
          <w:lang w:eastAsia="hu-HU"/>
        </w:rPr>
      </w:pPr>
    </w:p>
    <w:p w:rsidR="00B95AD8" w:rsidRPr="00E91A25" w:rsidRDefault="00B95AD8" w:rsidP="00B95AD8">
      <w:pPr>
        <w:rPr>
          <w:szCs w:val="24"/>
        </w:rPr>
      </w:pPr>
      <w:r w:rsidRPr="00E91A25">
        <w:rPr>
          <w:szCs w:val="24"/>
        </w:rPr>
        <w:t>A két integrált több hatóság közreműkö</w:t>
      </w:r>
      <w:r>
        <w:rPr>
          <w:szCs w:val="24"/>
        </w:rPr>
        <w:t>désével lefolytatott ellenőrzés</w:t>
      </w:r>
      <w:r w:rsidRPr="00E91A25">
        <w:rPr>
          <w:szCs w:val="24"/>
        </w:rPr>
        <w:t>t követően a Pest Megyei Kormányhivatal Növény- és Talajvédelmi Igazgatóság</w:t>
      </w:r>
      <w:r>
        <w:rPr>
          <w:szCs w:val="24"/>
        </w:rPr>
        <w:t>ának</w:t>
      </w:r>
      <w:r w:rsidRPr="00E91A25">
        <w:rPr>
          <w:szCs w:val="24"/>
        </w:rPr>
        <w:t xml:space="preserve"> zöldség-gyümölcs minőségellen</w:t>
      </w:r>
      <w:r>
        <w:rPr>
          <w:szCs w:val="24"/>
        </w:rPr>
        <w:t>őrei</w:t>
      </w:r>
      <w:r w:rsidRPr="00E91A25">
        <w:rPr>
          <w:szCs w:val="24"/>
        </w:rPr>
        <w:t xml:space="preserve"> a NAV munkatársaival közösen vettek részt aug</w:t>
      </w:r>
      <w:r>
        <w:rPr>
          <w:szCs w:val="24"/>
        </w:rPr>
        <w:t xml:space="preserve">usztus 26. napjától szeptember </w:t>
      </w:r>
      <w:r w:rsidRPr="00E91A25">
        <w:rPr>
          <w:szCs w:val="24"/>
        </w:rPr>
        <w:t xml:space="preserve">1. napjáig tartott napi ellenőrzés sorozaton. Az akció alatt </w:t>
      </w:r>
      <w:r>
        <w:rPr>
          <w:szCs w:val="24"/>
        </w:rPr>
        <w:t>meg</w:t>
      </w:r>
      <w:r w:rsidRPr="00E91A25">
        <w:rPr>
          <w:szCs w:val="24"/>
        </w:rPr>
        <w:t>vizsgált közel ötven tételből 13 esetben indított</w:t>
      </w:r>
      <w:r>
        <w:rPr>
          <w:szCs w:val="24"/>
        </w:rPr>
        <w:t>a</w:t>
      </w:r>
      <w:r w:rsidRPr="00E91A25">
        <w:rPr>
          <w:szCs w:val="24"/>
        </w:rPr>
        <w:t>k hatósági eljárást. Élelmiszer-ellenőrzési bírság kiszabására került sor 11 ízben jelölési hibák, 2 alkalommal romló-hiba rothadás miatt. Az utóbbi két tétel (1105 kg) forgalmazását is megtiltot</w:t>
      </w:r>
      <w:r>
        <w:rPr>
          <w:szCs w:val="24"/>
        </w:rPr>
        <w:t>tá</w:t>
      </w:r>
      <w:r w:rsidRPr="00E91A25">
        <w:rPr>
          <w:szCs w:val="24"/>
        </w:rPr>
        <w:t xml:space="preserve">k. A kiszabott bírság együttes </w:t>
      </w:r>
      <w:r>
        <w:rPr>
          <w:szCs w:val="24"/>
        </w:rPr>
        <w:t>összege 944 454 Ft</w:t>
      </w:r>
      <w:r w:rsidRPr="00E91A25">
        <w:rPr>
          <w:szCs w:val="24"/>
        </w:rPr>
        <w:t xml:space="preserve"> volt.</w:t>
      </w:r>
    </w:p>
    <w:p w:rsidR="00B95AD8" w:rsidRDefault="00B95AD8" w:rsidP="00B95AD8">
      <w:pPr>
        <w:pStyle w:val="Csakszveg"/>
        <w:jc w:val="both"/>
        <w:rPr>
          <w:rFonts w:ascii="Times New Roman" w:hAnsi="Times New Roman" w:cs="Times New Roman"/>
          <w:sz w:val="24"/>
          <w:szCs w:val="24"/>
        </w:rPr>
      </w:pPr>
    </w:p>
    <w:p w:rsidR="00B95AD8" w:rsidRPr="00E91A25" w:rsidRDefault="00B95AD8" w:rsidP="00B95AD8">
      <w:pPr>
        <w:rPr>
          <w:szCs w:val="24"/>
        </w:rPr>
      </w:pPr>
      <w:r>
        <w:rPr>
          <w:szCs w:val="24"/>
        </w:rPr>
        <w:t xml:space="preserve">Az adott időszak kiemelkedő eseménye volt még </w:t>
      </w:r>
      <w:r w:rsidRPr="00E91A25">
        <w:rPr>
          <w:szCs w:val="24"/>
        </w:rPr>
        <w:t>Jász-Nagykun-Szolnok megyében két nagykereskedelmi raktárban tartott ellenőrzés</w:t>
      </w:r>
      <w:r>
        <w:rPr>
          <w:szCs w:val="24"/>
        </w:rPr>
        <w:t>, amely</w:t>
      </w:r>
      <w:r w:rsidRPr="00E91A25">
        <w:rPr>
          <w:szCs w:val="24"/>
        </w:rPr>
        <w:t xml:space="preserve"> során</w:t>
      </w:r>
      <w:r>
        <w:rPr>
          <w:szCs w:val="24"/>
        </w:rPr>
        <w:t xml:space="preserve">, </w:t>
      </w:r>
      <w:r w:rsidRPr="00E91A25">
        <w:rPr>
          <w:szCs w:val="24"/>
        </w:rPr>
        <w:t xml:space="preserve">a nyomon-követhetőség megsértése miatt került sor élelmiszerlánc-felügyeleti és élelmiszerellenőrzési bírságok kiszabására közel két millió forint mértékben importból származó vöröshagyma tételek esetében. A </w:t>
      </w:r>
      <w:r>
        <w:rPr>
          <w:szCs w:val="24"/>
        </w:rPr>
        <w:t>hagyma</w:t>
      </w:r>
      <w:r w:rsidRPr="00E91A25">
        <w:rPr>
          <w:szCs w:val="24"/>
        </w:rPr>
        <w:t xml:space="preserve"> tételek jelöletlenek voltak, valamint az árukísérő iratokon sem került feltüntetésre a származás</w:t>
      </w:r>
      <w:r>
        <w:rPr>
          <w:szCs w:val="24"/>
        </w:rPr>
        <w:t>,</w:t>
      </w:r>
      <w:r w:rsidRPr="00E91A25">
        <w:rPr>
          <w:szCs w:val="24"/>
        </w:rPr>
        <w:t xml:space="preserve"> eredet megjelölése. </w:t>
      </w:r>
    </w:p>
    <w:p w:rsidR="00B95AD8" w:rsidRDefault="00B95AD8" w:rsidP="00B95AD8">
      <w:pPr>
        <w:pStyle w:val="Csakszveg"/>
        <w:jc w:val="both"/>
        <w:rPr>
          <w:rFonts w:ascii="Times New Roman" w:hAnsi="Times New Roman" w:cs="Times New Roman"/>
          <w:sz w:val="24"/>
          <w:szCs w:val="24"/>
        </w:rPr>
      </w:pPr>
    </w:p>
    <w:p w:rsidR="00B95AD8" w:rsidRDefault="00B95AD8" w:rsidP="00B95AD8">
      <w:pPr>
        <w:pStyle w:val="Csakszveg"/>
        <w:jc w:val="both"/>
        <w:rPr>
          <w:rFonts w:ascii="Calibri" w:hAnsi="Calibri" w:cs="Calibri"/>
          <w:color w:val="000000"/>
        </w:rPr>
      </w:pPr>
      <w:r>
        <w:rPr>
          <w:rFonts w:ascii="Times New Roman" w:hAnsi="Times New Roman" w:cs="Times New Roman"/>
          <w:sz w:val="24"/>
          <w:szCs w:val="24"/>
        </w:rPr>
        <w:t>A</w:t>
      </w:r>
      <w:r w:rsidRPr="00C10B97">
        <w:rPr>
          <w:rFonts w:ascii="Times New Roman" w:hAnsi="Times New Roman" w:cs="Times New Roman"/>
          <w:sz w:val="24"/>
          <w:szCs w:val="24"/>
        </w:rPr>
        <w:t xml:space="preserve"> </w:t>
      </w:r>
      <w:r>
        <w:rPr>
          <w:rFonts w:ascii="Times New Roman" w:hAnsi="Times New Roman" w:cs="Times New Roman"/>
          <w:sz w:val="24"/>
          <w:szCs w:val="24"/>
        </w:rPr>
        <w:t xml:space="preserve">városi piacokon </w:t>
      </w:r>
      <w:r w:rsidRPr="00C10B97">
        <w:rPr>
          <w:rFonts w:ascii="Times New Roman" w:hAnsi="Times New Roman" w:cs="Times New Roman"/>
          <w:sz w:val="24"/>
          <w:szCs w:val="24"/>
        </w:rPr>
        <w:t>tartott ellenőrzés</w:t>
      </w:r>
      <w:r>
        <w:rPr>
          <w:rFonts w:ascii="Times New Roman" w:hAnsi="Times New Roman" w:cs="Times New Roman"/>
          <w:sz w:val="24"/>
          <w:szCs w:val="24"/>
        </w:rPr>
        <w:t>ek</w:t>
      </w:r>
      <w:r w:rsidRPr="00C10B97">
        <w:rPr>
          <w:rFonts w:ascii="Times New Roman" w:hAnsi="Times New Roman" w:cs="Times New Roman"/>
          <w:sz w:val="24"/>
          <w:szCs w:val="24"/>
        </w:rPr>
        <w:t xml:space="preserve"> során -</w:t>
      </w:r>
      <w:r>
        <w:rPr>
          <w:rFonts w:ascii="Times New Roman" w:hAnsi="Times New Roman" w:cs="Times New Roman"/>
          <w:sz w:val="24"/>
          <w:szCs w:val="24"/>
        </w:rPr>
        <w:t xml:space="preserve"> a</w:t>
      </w:r>
      <w:r w:rsidRPr="00C10B97">
        <w:rPr>
          <w:rFonts w:ascii="Times New Roman" w:hAnsi="Times New Roman" w:cs="Times New Roman"/>
          <w:sz w:val="24"/>
          <w:szCs w:val="24"/>
        </w:rPr>
        <w:t xml:space="preserve"> korábban</w:t>
      </w:r>
      <w:r>
        <w:rPr>
          <w:rFonts w:ascii="Times New Roman" w:hAnsi="Times New Roman" w:cs="Times New Roman"/>
          <w:sz w:val="24"/>
          <w:szCs w:val="24"/>
        </w:rPr>
        <w:t xml:space="preserve"> tapasztalt körülmények miatt - </w:t>
      </w:r>
      <w:r w:rsidRPr="00C10B97">
        <w:rPr>
          <w:rFonts w:ascii="Times New Roman" w:hAnsi="Times New Roman" w:cs="Times New Roman"/>
          <w:sz w:val="24"/>
          <w:szCs w:val="24"/>
        </w:rPr>
        <w:t>a NAV Vám- és Pénzügyőri Igazgatóságának egyenruhás járőr</w:t>
      </w:r>
      <w:r>
        <w:rPr>
          <w:rFonts w:ascii="Times New Roman" w:hAnsi="Times New Roman" w:cs="Times New Roman"/>
          <w:sz w:val="24"/>
          <w:szCs w:val="24"/>
        </w:rPr>
        <w:t>ei biztosították</w:t>
      </w:r>
      <w:r w:rsidRPr="00C10B97">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C10B97">
        <w:rPr>
          <w:rFonts w:ascii="Times New Roman" w:hAnsi="Times New Roman" w:cs="Times New Roman"/>
          <w:sz w:val="24"/>
          <w:szCs w:val="24"/>
        </w:rPr>
        <w:t>munkát. Társhatóságként továbbá a KEM KH Fogyasztóvédelmi Felügyelősége</w:t>
      </w:r>
      <w:r>
        <w:rPr>
          <w:rFonts w:ascii="Times New Roman" w:hAnsi="Times New Roman" w:cs="Times New Roman"/>
          <w:sz w:val="24"/>
          <w:szCs w:val="24"/>
        </w:rPr>
        <w:t>i</w:t>
      </w:r>
      <w:r w:rsidRPr="00C10B97">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C10B97">
        <w:rPr>
          <w:rFonts w:ascii="Times New Roman" w:hAnsi="Times New Roman" w:cs="Times New Roman"/>
          <w:sz w:val="24"/>
          <w:szCs w:val="24"/>
        </w:rPr>
        <w:t xml:space="preserve">jelen </w:t>
      </w:r>
      <w:r w:rsidRPr="00BC0A55">
        <w:rPr>
          <w:rFonts w:ascii="Times New Roman" w:hAnsi="Times New Roman" w:cs="Times New Roman"/>
          <w:sz w:val="24"/>
          <w:szCs w:val="24"/>
        </w:rPr>
        <w:t>voltak. Az ellenőrzési napokon kereskedőknél és őstermelőnél is sor került vizsgálatra</w:t>
      </w:r>
      <w:r w:rsidR="003B1480" w:rsidRPr="00BC0A55">
        <w:rPr>
          <w:rFonts w:ascii="Times New Roman" w:hAnsi="Times New Roman" w:cs="Times New Roman"/>
          <w:sz w:val="24"/>
          <w:szCs w:val="24"/>
        </w:rPr>
        <w:t>, melynek során</w:t>
      </w:r>
      <w:r w:rsidRPr="00BC0A55">
        <w:rPr>
          <w:rFonts w:ascii="Times New Roman" w:hAnsi="Times New Roman" w:cs="Times New Roman"/>
          <w:sz w:val="24"/>
          <w:szCs w:val="24"/>
        </w:rPr>
        <w:t xml:space="preserve"> több ismeretlen eredetű, jelöletlen tétel forgalmazási korlátozás</w:t>
      </w:r>
      <w:r w:rsidR="003B1480" w:rsidRPr="00BC0A55">
        <w:rPr>
          <w:rFonts w:ascii="Times New Roman" w:hAnsi="Times New Roman" w:cs="Times New Roman"/>
          <w:sz w:val="24"/>
          <w:szCs w:val="24"/>
        </w:rPr>
        <w:t>át</w:t>
      </w:r>
      <w:r w:rsidRPr="00BC0A55">
        <w:rPr>
          <w:rFonts w:ascii="Times New Roman" w:hAnsi="Times New Roman" w:cs="Times New Roman"/>
          <w:sz w:val="24"/>
          <w:szCs w:val="24"/>
        </w:rPr>
        <w:t>, illetve számos tétel azonnali, helyszíni megsemmisítés</w:t>
      </w:r>
      <w:r w:rsidR="003B1480" w:rsidRPr="00BC0A55">
        <w:rPr>
          <w:rFonts w:ascii="Times New Roman" w:hAnsi="Times New Roman" w:cs="Times New Roman"/>
          <w:sz w:val="24"/>
          <w:szCs w:val="24"/>
        </w:rPr>
        <w:t>é</w:t>
      </w:r>
      <w:r w:rsidRPr="00BC0A55">
        <w:rPr>
          <w:rFonts w:ascii="Times New Roman" w:hAnsi="Times New Roman" w:cs="Times New Roman"/>
          <w:sz w:val="24"/>
          <w:szCs w:val="24"/>
        </w:rPr>
        <w:t xml:space="preserve">t </w:t>
      </w:r>
      <w:r w:rsidR="003B1480" w:rsidRPr="00BC0A55">
        <w:rPr>
          <w:rFonts w:ascii="Times New Roman" w:hAnsi="Times New Roman" w:cs="Times New Roman"/>
          <w:sz w:val="24"/>
          <w:szCs w:val="24"/>
        </w:rPr>
        <w:t>rendelté</w:t>
      </w:r>
      <w:r w:rsidRPr="00BC0A55">
        <w:rPr>
          <w:rFonts w:ascii="Times New Roman" w:hAnsi="Times New Roman" w:cs="Times New Roman"/>
          <w:sz w:val="24"/>
          <w:szCs w:val="24"/>
        </w:rPr>
        <w:t>k</w:t>
      </w:r>
      <w:r w:rsidR="003B1480" w:rsidRPr="00BC0A55">
        <w:rPr>
          <w:rFonts w:ascii="Times New Roman" w:hAnsi="Times New Roman" w:cs="Times New Roman"/>
          <w:sz w:val="24"/>
          <w:szCs w:val="24"/>
        </w:rPr>
        <w:t xml:space="preserve"> el az ellenőrök</w:t>
      </w:r>
      <w:r w:rsidRPr="00BC0A55">
        <w:rPr>
          <w:rFonts w:ascii="Times New Roman" w:hAnsi="Times New Roman" w:cs="Times New Roman"/>
          <w:sz w:val="24"/>
          <w:szCs w:val="24"/>
        </w:rPr>
        <w:t>.</w:t>
      </w:r>
      <w:r w:rsidRPr="00C10B97">
        <w:rPr>
          <w:rFonts w:ascii="Calibri" w:hAnsi="Calibri" w:cs="Calibri"/>
          <w:color w:val="000000"/>
        </w:rPr>
        <w:t xml:space="preserve"> </w:t>
      </w:r>
    </w:p>
    <w:p w:rsidR="00B95AD8" w:rsidRDefault="00B95AD8" w:rsidP="00B95AD8">
      <w:pPr>
        <w:pStyle w:val="Csakszveg"/>
        <w:jc w:val="both"/>
        <w:rPr>
          <w:rFonts w:ascii="Times New Roman" w:hAnsi="Times New Roman" w:cs="Times New Roman"/>
          <w:sz w:val="24"/>
          <w:szCs w:val="24"/>
        </w:rPr>
      </w:pPr>
    </w:p>
    <w:p w:rsidR="00B95AD8" w:rsidRDefault="00B95AD8" w:rsidP="00B95AD8">
      <w:r>
        <w:t>A több egymást követő ellenőrzés tapasztalata az, hogy terjed a híre az ellenőrzéseknek, jelentősen emelkedett a regisztrációs számot igénylők száma a zöldség-gyümölcs ellenőrzés és a növényegészségügy területén is, és láthatóan több helyen már megfelelően jelölik a termékeket. Ezek a pozitív hatások azonban csak akkor állandósulnak, amennyiben folytatni tudjuk a rendszeres ellenőrzést. Az ellenőrzések hatékonysága növelhető több hatóság által végzett összehangolt ellenőrzések alkalmazásával.</w:t>
      </w:r>
    </w:p>
    <w:p w:rsidR="00B95AD8" w:rsidRDefault="00B95AD8" w:rsidP="00B95AD8">
      <w:pPr>
        <w:pStyle w:val="Csakszveg"/>
        <w:jc w:val="both"/>
        <w:rPr>
          <w:rFonts w:ascii="Times New Roman" w:hAnsi="Times New Roman" w:cs="Times New Roman"/>
          <w:sz w:val="24"/>
          <w:szCs w:val="24"/>
        </w:rPr>
      </w:pPr>
    </w:p>
    <w:p w:rsidR="00957C6F" w:rsidRDefault="00957C6F" w:rsidP="00957C6F">
      <w:pPr>
        <w:rPr>
          <w:rFonts w:eastAsia="Calibri" w:cs="Times New Roman"/>
        </w:rPr>
      </w:pPr>
    </w:p>
    <w:p w:rsidR="00957C6F" w:rsidRDefault="00957C6F" w:rsidP="00957C6F">
      <w:pPr>
        <w:rPr>
          <w:rFonts w:eastAsia="Calibri" w:cs="Times New Roman"/>
          <w:b/>
          <w:u w:val="single"/>
        </w:rPr>
      </w:pPr>
      <w:r>
        <w:rPr>
          <w:rFonts w:eastAsia="Calibri" w:cs="Times New Roman"/>
        </w:rPr>
        <w:br w:type="textWrapping" w:clear="all"/>
      </w:r>
      <w:r w:rsidRPr="002A12D2">
        <w:rPr>
          <w:rFonts w:eastAsia="Calibri" w:cs="Times New Roman"/>
          <w:b/>
          <w:u w:val="single"/>
        </w:rPr>
        <w:t>VENDÉGLÁTÁS</w:t>
      </w:r>
      <w:r>
        <w:rPr>
          <w:rFonts w:eastAsia="Calibri" w:cs="Times New Roman"/>
          <w:b/>
          <w:u w:val="single"/>
        </w:rPr>
        <w:t>, ÉTKEZTETÉS</w:t>
      </w:r>
    </w:p>
    <w:p w:rsidR="00957C6F" w:rsidRPr="002A12D2" w:rsidRDefault="00957C6F" w:rsidP="00957C6F">
      <w:pPr>
        <w:jc w:val="center"/>
        <w:rPr>
          <w:rFonts w:eastAsia="Calibri" w:cs="Times New Roman"/>
          <w:b/>
          <w:u w:val="single"/>
        </w:rPr>
      </w:pPr>
    </w:p>
    <w:p w:rsidR="00957C6F" w:rsidRPr="009F03F9" w:rsidRDefault="00957C6F" w:rsidP="00957C6F">
      <w:pPr>
        <w:rPr>
          <w:rFonts w:eastAsia="Calibri" w:cs="Times New Roman"/>
          <w:b/>
        </w:rPr>
      </w:pPr>
      <w:r>
        <w:rPr>
          <w:rFonts w:eastAsia="Calibri" w:cs="Times New Roman"/>
          <w:szCs w:val="24"/>
        </w:rPr>
        <w:t xml:space="preserve">A Megyei Kormányhivatalok Élelmiszerlánc-biztonsági és Állategészségügyi Igazgatóságainak szakemberei – </w:t>
      </w:r>
      <w:r w:rsidRPr="00445E1F">
        <w:rPr>
          <w:rFonts w:eastAsia="Calibri" w:cs="Times New Roman"/>
          <w:szCs w:val="24"/>
        </w:rPr>
        <w:t xml:space="preserve">az éves ellenőrzési tervben meghatározottakon túl – </w:t>
      </w:r>
      <w:r>
        <w:rPr>
          <w:rFonts w:eastAsia="Calibri" w:cs="Times New Roman"/>
          <w:szCs w:val="24"/>
        </w:rPr>
        <w:t>a nyári hónapokban fokozottan</w:t>
      </w:r>
      <w:r w:rsidRPr="00445E1F">
        <w:rPr>
          <w:rFonts w:eastAsia="Calibri" w:cs="Times New Roman"/>
          <w:szCs w:val="24"/>
        </w:rPr>
        <w:t xml:space="preserve"> vizsgál</w:t>
      </w:r>
      <w:r>
        <w:rPr>
          <w:rFonts w:eastAsia="Calibri" w:cs="Times New Roman"/>
          <w:szCs w:val="24"/>
        </w:rPr>
        <w:t>t</w:t>
      </w:r>
      <w:r w:rsidRPr="00445E1F">
        <w:rPr>
          <w:rFonts w:eastAsia="Calibri" w:cs="Times New Roman"/>
          <w:szCs w:val="24"/>
        </w:rPr>
        <w:t xml:space="preserve">ák </w:t>
      </w:r>
      <w:r>
        <w:rPr>
          <w:rFonts w:eastAsia="Calibri" w:cs="Times New Roman"/>
          <w:szCs w:val="24"/>
        </w:rPr>
        <w:t xml:space="preserve">a </w:t>
      </w:r>
      <w:r w:rsidRPr="00445E1F">
        <w:rPr>
          <w:rFonts w:eastAsia="Calibri" w:cs="Times New Roman"/>
          <w:szCs w:val="24"/>
        </w:rPr>
        <w:t>szezonális élelmiszereket</w:t>
      </w:r>
      <w:r>
        <w:rPr>
          <w:rFonts w:eastAsia="Calibri" w:cs="Times New Roman"/>
          <w:szCs w:val="24"/>
        </w:rPr>
        <w:t>,</w:t>
      </w:r>
      <w:r w:rsidRPr="00445E1F">
        <w:rPr>
          <w:rFonts w:eastAsia="Calibri" w:cs="Times New Roman"/>
          <w:szCs w:val="24"/>
        </w:rPr>
        <w:t xml:space="preserve"> illetve </w:t>
      </w:r>
      <w:r>
        <w:rPr>
          <w:rFonts w:eastAsia="Calibri" w:cs="Times New Roman"/>
          <w:szCs w:val="24"/>
        </w:rPr>
        <w:t xml:space="preserve">a szezonálisan </w:t>
      </w:r>
      <w:r w:rsidRPr="00445E1F">
        <w:rPr>
          <w:rFonts w:eastAsia="Calibri" w:cs="Times New Roman"/>
          <w:szCs w:val="24"/>
        </w:rPr>
        <w:t xml:space="preserve"> működő</w:t>
      </w:r>
      <w:r>
        <w:rPr>
          <w:rFonts w:eastAsia="Calibri" w:cs="Times New Roman"/>
          <w:szCs w:val="24"/>
        </w:rPr>
        <w:t xml:space="preserve"> vendéglátó</w:t>
      </w:r>
      <w:r w:rsidRPr="00445E1F">
        <w:rPr>
          <w:rFonts w:eastAsia="Calibri" w:cs="Times New Roman"/>
          <w:szCs w:val="24"/>
        </w:rPr>
        <w:t xml:space="preserve"> </w:t>
      </w:r>
      <w:r>
        <w:rPr>
          <w:rFonts w:eastAsia="Calibri" w:cs="Times New Roman"/>
          <w:szCs w:val="24"/>
        </w:rPr>
        <w:t xml:space="preserve"> </w:t>
      </w:r>
      <w:r w:rsidRPr="00445E1F">
        <w:rPr>
          <w:rFonts w:eastAsia="Calibri" w:cs="Times New Roman"/>
          <w:szCs w:val="24"/>
        </w:rPr>
        <w:t>helyeket.</w:t>
      </w:r>
      <w:r>
        <w:rPr>
          <w:rFonts w:eastAsia="Calibri" w:cs="Times New Roman"/>
          <w:szCs w:val="24"/>
        </w:rPr>
        <w:t xml:space="preserve"> </w:t>
      </w:r>
      <w:r w:rsidRPr="00133E55">
        <w:rPr>
          <w:rFonts w:eastAsia="Calibri" w:cs="Times New Roman"/>
          <w:szCs w:val="24"/>
        </w:rPr>
        <w:t>A célterül</w:t>
      </w:r>
      <w:r>
        <w:rPr>
          <w:rFonts w:eastAsia="Calibri" w:cs="Times New Roman"/>
          <w:szCs w:val="24"/>
        </w:rPr>
        <w:t xml:space="preserve">etek között szerepelt ifjúsági és gyermektáborok </w:t>
      </w:r>
      <w:r w:rsidRPr="006B7584">
        <w:rPr>
          <w:rFonts w:eastAsia="Calibri" w:cs="Times New Roman"/>
          <w:szCs w:val="24"/>
        </w:rPr>
        <w:t>étkeztetése</w:t>
      </w:r>
      <w:r>
        <w:rPr>
          <w:rFonts w:eastAsia="Calibri" w:cs="Times New Roman"/>
          <w:szCs w:val="24"/>
        </w:rPr>
        <w:t xml:space="preserve">, a </w:t>
      </w:r>
      <w:r w:rsidRPr="006B7584">
        <w:rPr>
          <w:rFonts w:eastAsia="Calibri" w:cs="Times New Roman"/>
          <w:szCs w:val="24"/>
        </w:rPr>
        <w:t>nagy tömegeket megmozgató</w:t>
      </w:r>
      <w:r>
        <w:rPr>
          <w:rFonts w:eastAsia="Calibri" w:cs="Times New Roman"/>
          <w:szCs w:val="24"/>
        </w:rPr>
        <w:t xml:space="preserve"> országos és nemzetközi rendezvényeken élelmiszert forgalmazó létesítmények, valamint a strandokon, üdülő helyeken szezonálisan működő büfék, falatozók, éttermek, cukrászdák és fagylaltozók ellenőrzése, az idegenforgalmi szempontból frekventált helyeken működő vendéglátó üzletek ellenőrzése.</w:t>
      </w:r>
    </w:p>
    <w:p w:rsidR="00957C6F" w:rsidRDefault="00957C6F" w:rsidP="00957C6F">
      <w:pPr>
        <w:jc w:val="left"/>
        <w:rPr>
          <w:rFonts w:eastAsia="Calibri" w:cs="Times New Roman"/>
        </w:rPr>
      </w:pPr>
    </w:p>
    <w:p w:rsidR="005C0D3B" w:rsidRDefault="005C0D3B" w:rsidP="00957C6F">
      <w:pPr>
        <w:jc w:val="left"/>
        <w:rPr>
          <w:rFonts w:eastAsia="Calibri" w:cs="Times New Roman"/>
        </w:rPr>
      </w:pPr>
    </w:p>
    <w:p w:rsidR="00957C6F" w:rsidRDefault="00957C6F" w:rsidP="00957C6F">
      <w:pPr>
        <w:numPr>
          <w:ilvl w:val="0"/>
          <w:numId w:val="1"/>
        </w:numPr>
        <w:jc w:val="left"/>
        <w:rPr>
          <w:rFonts w:eastAsia="Calibri" w:cs="Times New Roman"/>
          <w:i/>
        </w:rPr>
      </w:pPr>
      <w:r w:rsidRPr="006305F8">
        <w:rPr>
          <w:rFonts w:eastAsia="Calibri" w:cs="Times New Roman"/>
          <w:i/>
        </w:rPr>
        <w:lastRenderedPageBreak/>
        <w:t>sz. ábra</w:t>
      </w:r>
    </w:p>
    <w:p w:rsidR="005C0D3B" w:rsidRPr="006305F8" w:rsidRDefault="005C0D3B" w:rsidP="005C0D3B">
      <w:pPr>
        <w:ind w:left="360"/>
        <w:jc w:val="left"/>
        <w:rPr>
          <w:rFonts w:eastAsia="Calibri" w:cs="Times New Roman"/>
          <w:i/>
        </w:rPr>
      </w:pPr>
    </w:p>
    <w:p w:rsidR="00957C6F" w:rsidRDefault="00957C6F" w:rsidP="00957C6F">
      <w:pPr>
        <w:jc w:val="center"/>
        <w:rPr>
          <w:rFonts w:eastAsia="Calibri" w:cs="Times New Roman"/>
          <w:b/>
        </w:rPr>
      </w:pPr>
      <w:r>
        <w:rPr>
          <w:rFonts w:eastAsia="Calibri" w:cs="Times New Roman"/>
          <w:b/>
        </w:rPr>
        <w:t>Idegenforgalmi szempontból frekventált vendéglátó helyek</w:t>
      </w:r>
      <w:r w:rsidRPr="00A06DA1">
        <w:rPr>
          <w:rFonts w:eastAsia="Calibri" w:cs="Times New Roman"/>
          <w:b/>
        </w:rPr>
        <w:t xml:space="preserve"> élelmiszer</w:t>
      </w:r>
      <w:r>
        <w:rPr>
          <w:rFonts w:eastAsia="Calibri" w:cs="Times New Roman"/>
          <w:b/>
        </w:rPr>
        <w:t>-</w:t>
      </w:r>
      <w:r w:rsidRPr="00A06DA1">
        <w:rPr>
          <w:rFonts w:eastAsia="Calibri" w:cs="Times New Roman"/>
          <w:b/>
        </w:rPr>
        <w:t>biztonsági ellenőrzése</w:t>
      </w:r>
    </w:p>
    <w:p w:rsidR="00957C6F" w:rsidRPr="00A06DA1" w:rsidRDefault="00957C6F" w:rsidP="00957C6F">
      <w:pPr>
        <w:jc w:val="center"/>
        <w:rPr>
          <w:rFonts w:eastAsia="Calibri" w:cs="Times New Roman"/>
          <w:b/>
        </w:rPr>
      </w:pPr>
      <w:r>
        <w:rPr>
          <w:rFonts w:eastAsia="Calibri" w:cs="Times New Roman"/>
          <w:b/>
        </w:rPr>
        <w:t>07. 01. - 08. 31</w:t>
      </w:r>
      <w:r w:rsidRPr="00A06DA1">
        <w:rPr>
          <w:rFonts w:eastAsia="Calibri" w:cs="Times New Roman"/>
          <w:b/>
        </w:rPr>
        <w:t>.</w:t>
      </w:r>
    </w:p>
    <w:p w:rsidR="00957C6F" w:rsidRDefault="00957C6F" w:rsidP="00957C6F">
      <w:pPr>
        <w:rPr>
          <w:rFonts w:eastAsia="Calibri" w:cs="Times New Roman"/>
        </w:rPr>
      </w:pPr>
    </w:p>
    <w:tbl>
      <w:tblPr>
        <w:tblW w:w="9900" w:type="dxa"/>
        <w:tblInd w:w="-4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800"/>
        <w:gridCol w:w="1260"/>
        <w:gridCol w:w="32"/>
        <w:gridCol w:w="1503"/>
        <w:gridCol w:w="1525"/>
        <w:gridCol w:w="1561"/>
        <w:gridCol w:w="2219"/>
      </w:tblGrid>
      <w:tr w:rsidR="00957C6F" w:rsidRPr="006E666E" w:rsidTr="0097339F">
        <w:tc>
          <w:tcPr>
            <w:tcW w:w="1800" w:type="dxa"/>
            <w:vMerge w:val="restart"/>
            <w:tcBorders>
              <w:top w:val="single" w:sz="12" w:space="0" w:color="auto"/>
            </w:tcBorders>
            <w:shd w:val="clear" w:color="auto" w:fill="FFFF99"/>
          </w:tcPr>
          <w:p w:rsidR="00957C6F" w:rsidRDefault="00957C6F" w:rsidP="0097339F">
            <w:pPr>
              <w:rPr>
                <w:rFonts w:eastAsia="Calibri" w:cs="Times New Roman"/>
              </w:rPr>
            </w:pPr>
            <w:r>
              <w:rPr>
                <w:rFonts w:eastAsia="Calibri" w:cs="Times New Roman"/>
              </w:rPr>
              <w:t xml:space="preserve"> </w:t>
            </w:r>
          </w:p>
          <w:p w:rsidR="00957C6F" w:rsidRDefault="00957C6F" w:rsidP="0097339F">
            <w:pPr>
              <w:rPr>
                <w:rFonts w:eastAsia="Calibri" w:cs="Times New Roman"/>
              </w:rPr>
            </w:pPr>
          </w:p>
          <w:p w:rsidR="00957C6F" w:rsidRPr="006E666E" w:rsidRDefault="00957C6F" w:rsidP="0097339F">
            <w:pPr>
              <w:rPr>
                <w:rFonts w:eastAsia="Calibri" w:cs="Times New Roman"/>
              </w:rPr>
            </w:pPr>
            <w:r>
              <w:rPr>
                <w:rFonts w:eastAsia="Calibri" w:cs="Times New Roman"/>
              </w:rPr>
              <w:t>Létesítmény csoport csoport</w:t>
            </w:r>
          </w:p>
        </w:tc>
        <w:tc>
          <w:tcPr>
            <w:tcW w:w="1260" w:type="dxa"/>
            <w:vMerge w:val="restart"/>
            <w:tcBorders>
              <w:top w:val="single" w:sz="12" w:space="0" w:color="auto"/>
              <w:bottom w:val="single" w:sz="12" w:space="0" w:color="auto"/>
            </w:tcBorders>
            <w:shd w:val="clear" w:color="auto" w:fill="FFFF99"/>
          </w:tcPr>
          <w:p w:rsidR="00957C6F" w:rsidRDefault="00957C6F" w:rsidP="0097339F">
            <w:pPr>
              <w:jc w:val="center"/>
              <w:rPr>
                <w:rFonts w:eastAsia="Calibri" w:cs="Times New Roman"/>
              </w:rPr>
            </w:pPr>
          </w:p>
          <w:p w:rsidR="00957C6F" w:rsidRPr="006E666E" w:rsidRDefault="00957C6F" w:rsidP="0097339F">
            <w:pPr>
              <w:jc w:val="center"/>
              <w:rPr>
                <w:rFonts w:eastAsia="Calibri" w:cs="Times New Roman"/>
              </w:rPr>
            </w:pPr>
            <w:r w:rsidRPr="006E666E">
              <w:rPr>
                <w:rFonts w:eastAsia="Calibri" w:cs="Times New Roman"/>
              </w:rPr>
              <w:t xml:space="preserve">Ellenőrzés </w:t>
            </w:r>
          </w:p>
        </w:tc>
        <w:tc>
          <w:tcPr>
            <w:tcW w:w="1535" w:type="dxa"/>
            <w:gridSpan w:val="2"/>
            <w:vMerge w:val="restart"/>
            <w:tcBorders>
              <w:top w:val="single" w:sz="12" w:space="0" w:color="auto"/>
            </w:tcBorders>
            <w:shd w:val="clear" w:color="auto" w:fill="FFFF99"/>
          </w:tcPr>
          <w:p w:rsidR="00957C6F" w:rsidRDefault="00957C6F" w:rsidP="0097339F">
            <w:pPr>
              <w:jc w:val="center"/>
              <w:rPr>
                <w:rFonts w:eastAsia="Calibri" w:cs="Times New Roman"/>
              </w:rPr>
            </w:pPr>
          </w:p>
          <w:p w:rsidR="00957C6F" w:rsidRPr="006E666E" w:rsidRDefault="00957C6F" w:rsidP="0097339F">
            <w:pPr>
              <w:jc w:val="center"/>
              <w:rPr>
                <w:rFonts w:eastAsia="Calibri" w:cs="Times New Roman"/>
              </w:rPr>
            </w:pPr>
            <w:r w:rsidRPr="006E666E">
              <w:rPr>
                <w:rFonts w:eastAsia="Calibri" w:cs="Times New Roman"/>
              </w:rPr>
              <w:t>Ellenőrzött</w:t>
            </w:r>
          </w:p>
          <w:p w:rsidR="00957C6F" w:rsidRPr="006E666E" w:rsidRDefault="00957C6F" w:rsidP="0097339F">
            <w:pPr>
              <w:jc w:val="center"/>
              <w:rPr>
                <w:rFonts w:eastAsia="Calibri" w:cs="Times New Roman"/>
              </w:rPr>
            </w:pPr>
            <w:r w:rsidRPr="00DD3A0D">
              <w:rPr>
                <w:rFonts w:eastAsia="Calibri" w:cs="Times New Roman"/>
                <w:sz w:val="22"/>
              </w:rPr>
              <w:t xml:space="preserve">helyek </w:t>
            </w:r>
          </w:p>
        </w:tc>
        <w:tc>
          <w:tcPr>
            <w:tcW w:w="5305" w:type="dxa"/>
            <w:gridSpan w:val="3"/>
            <w:tcBorders>
              <w:top w:val="single" w:sz="12" w:space="0" w:color="auto"/>
            </w:tcBorders>
            <w:shd w:val="clear" w:color="auto" w:fill="FFFF99"/>
          </w:tcPr>
          <w:p w:rsidR="00957C6F" w:rsidRPr="006E666E" w:rsidRDefault="00957C6F" w:rsidP="0097339F">
            <w:pPr>
              <w:jc w:val="center"/>
              <w:rPr>
                <w:rFonts w:eastAsia="Calibri" w:cs="Times New Roman"/>
              </w:rPr>
            </w:pPr>
            <w:r w:rsidRPr="006E666E">
              <w:rPr>
                <w:rFonts w:eastAsia="Calibri" w:cs="Times New Roman"/>
              </w:rPr>
              <w:t>Élelmiszerbiztonsági szempontból</w:t>
            </w:r>
          </w:p>
        </w:tc>
      </w:tr>
      <w:tr w:rsidR="00957C6F" w:rsidRPr="006E666E" w:rsidTr="0097339F">
        <w:tc>
          <w:tcPr>
            <w:tcW w:w="1800" w:type="dxa"/>
            <w:vMerge/>
            <w:shd w:val="clear" w:color="auto" w:fill="FFFF99"/>
          </w:tcPr>
          <w:p w:rsidR="00957C6F" w:rsidRPr="006E666E" w:rsidRDefault="00957C6F" w:rsidP="0097339F">
            <w:pPr>
              <w:rPr>
                <w:rFonts w:eastAsia="Calibri" w:cs="Times New Roman"/>
              </w:rPr>
            </w:pPr>
          </w:p>
        </w:tc>
        <w:tc>
          <w:tcPr>
            <w:tcW w:w="1260" w:type="dxa"/>
            <w:vMerge/>
            <w:tcBorders>
              <w:top w:val="single" w:sz="4" w:space="0" w:color="auto"/>
              <w:bottom w:val="single" w:sz="12" w:space="0" w:color="auto"/>
            </w:tcBorders>
            <w:shd w:val="clear" w:color="auto" w:fill="FFFF99"/>
          </w:tcPr>
          <w:p w:rsidR="00957C6F" w:rsidRPr="006E666E" w:rsidRDefault="00957C6F" w:rsidP="0097339F">
            <w:pPr>
              <w:rPr>
                <w:rFonts w:eastAsia="Calibri" w:cs="Times New Roman"/>
              </w:rPr>
            </w:pPr>
          </w:p>
        </w:tc>
        <w:tc>
          <w:tcPr>
            <w:tcW w:w="1535" w:type="dxa"/>
            <w:gridSpan w:val="2"/>
            <w:vMerge/>
            <w:tcBorders>
              <w:bottom w:val="single" w:sz="12" w:space="0" w:color="auto"/>
            </w:tcBorders>
            <w:shd w:val="clear" w:color="auto" w:fill="FFFF99"/>
          </w:tcPr>
          <w:p w:rsidR="00957C6F" w:rsidRPr="00DD3A0D" w:rsidRDefault="00957C6F" w:rsidP="0097339F">
            <w:pPr>
              <w:jc w:val="center"/>
              <w:rPr>
                <w:rFonts w:eastAsia="Calibri" w:cs="Times New Roman"/>
                <w:sz w:val="22"/>
              </w:rPr>
            </w:pPr>
          </w:p>
        </w:tc>
        <w:tc>
          <w:tcPr>
            <w:tcW w:w="1525" w:type="dxa"/>
            <w:tcBorders>
              <w:bottom w:val="single" w:sz="12" w:space="0" w:color="auto"/>
            </w:tcBorders>
            <w:shd w:val="clear" w:color="auto" w:fill="FFFF99"/>
          </w:tcPr>
          <w:p w:rsidR="00957C6F" w:rsidRPr="00DD3A0D" w:rsidRDefault="00957C6F" w:rsidP="0097339F">
            <w:pPr>
              <w:rPr>
                <w:rFonts w:eastAsia="Calibri" w:cs="Times New Roman"/>
                <w:sz w:val="22"/>
              </w:rPr>
            </w:pPr>
            <w:r w:rsidRPr="00DD3A0D">
              <w:rPr>
                <w:rFonts w:eastAsia="Calibri" w:cs="Times New Roman"/>
                <w:sz w:val="22"/>
              </w:rPr>
              <w:t>Megfelelően, biztonságosan üzemel</w:t>
            </w:r>
            <w:r>
              <w:rPr>
                <w:rFonts w:eastAsia="Calibri" w:cs="Times New Roman"/>
                <w:sz w:val="22"/>
              </w:rPr>
              <w:t>t</w:t>
            </w:r>
          </w:p>
        </w:tc>
        <w:tc>
          <w:tcPr>
            <w:tcW w:w="1561" w:type="dxa"/>
            <w:tcBorders>
              <w:bottom w:val="single" w:sz="12" w:space="0" w:color="auto"/>
            </w:tcBorders>
            <w:shd w:val="clear" w:color="auto" w:fill="FFFF99"/>
          </w:tcPr>
          <w:p w:rsidR="00957C6F" w:rsidRPr="00DD3A0D" w:rsidRDefault="00957C6F" w:rsidP="0097339F">
            <w:pPr>
              <w:rPr>
                <w:rFonts w:eastAsia="Calibri" w:cs="Times New Roman"/>
                <w:sz w:val="22"/>
              </w:rPr>
            </w:pPr>
            <w:r w:rsidRPr="00DD3A0D">
              <w:rPr>
                <w:rFonts w:eastAsia="Calibri" w:cs="Times New Roman"/>
                <w:sz w:val="22"/>
              </w:rPr>
              <w:t>Feltárt hi</w:t>
            </w:r>
            <w:r>
              <w:rPr>
                <w:rFonts w:eastAsia="Calibri" w:cs="Times New Roman"/>
                <w:sz w:val="22"/>
              </w:rPr>
              <w:t xml:space="preserve">bákkal, de biztonságosan üzemelt </w:t>
            </w:r>
          </w:p>
        </w:tc>
        <w:tc>
          <w:tcPr>
            <w:tcW w:w="2219" w:type="dxa"/>
            <w:tcBorders>
              <w:bottom w:val="single" w:sz="12" w:space="0" w:color="auto"/>
            </w:tcBorders>
            <w:shd w:val="clear" w:color="auto" w:fill="FFFF99"/>
          </w:tcPr>
          <w:p w:rsidR="00957C6F" w:rsidRPr="00DD3A0D" w:rsidRDefault="00957C6F" w:rsidP="0097339F">
            <w:pPr>
              <w:rPr>
                <w:rFonts w:eastAsia="Calibri" w:cs="Times New Roman"/>
                <w:sz w:val="22"/>
              </w:rPr>
            </w:pPr>
            <w:r w:rsidRPr="00DD3A0D">
              <w:rPr>
                <w:rFonts w:eastAsia="Calibri" w:cs="Times New Roman"/>
                <w:sz w:val="22"/>
              </w:rPr>
              <w:t>Hatósági intézkedéssel, biztonságossá tett</w:t>
            </w:r>
          </w:p>
        </w:tc>
      </w:tr>
      <w:tr w:rsidR="00957C6F" w:rsidRPr="006E666E" w:rsidTr="0097339F">
        <w:trPr>
          <w:trHeight w:val="304"/>
        </w:trPr>
        <w:tc>
          <w:tcPr>
            <w:tcW w:w="1800" w:type="dxa"/>
            <w:vMerge/>
            <w:tcBorders>
              <w:bottom w:val="single" w:sz="4" w:space="0" w:color="auto"/>
            </w:tcBorders>
            <w:shd w:val="clear" w:color="auto" w:fill="FFFF99"/>
            <w:vAlign w:val="center"/>
          </w:tcPr>
          <w:p w:rsidR="00957C6F" w:rsidRDefault="00957C6F" w:rsidP="0097339F">
            <w:pPr>
              <w:jc w:val="center"/>
              <w:rPr>
                <w:rFonts w:eastAsia="Calibri" w:cs="Times New Roman"/>
              </w:rPr>
            </w:pPr>
          </w:p>
        </w:tc>
        <w:tc>
          <w:tcPr>
            <w:tcW w:w="8100" w:type="dxa"/>
            <w:gridSpan w:val="6"/>
            <w:tcBorders>
              <w:bottom w:val="single" w:sz="4" w:space="0" w:color="auto"/>
            </w:tcBorders>
            <w:shd w:val="clear" w:color="auto" w:fill="FFFF99"/>
            <w:vAlign w:val="center"/>
          </w:tcPr>
          <w:p w:rsidR="00957C6F" w:rsidRDefault="00957C6F" w:rsidP="0097339F">
            <w:pPr>
              <w:jc w:val="center"/>
              <w:rPr>
                <w:rFonts w:eastAsia="Calibri" w:cs="Times New Roman"/>
              </w:rPr>
            </w:pPr>
            <w:r>
              <w:rPr>
                <w:rFonts w:eastAsia="Calibri" w:cs="Times New Roman"/>
              </w:rPr>
              <w:t>száma</w:t>
            </w:r>
          </w:p>
        </w:tc>
      </w:tr>
      <w:tr w:rsidR="00957C6F" w:rsidRPr="006E666E" w:rsidTr="0097339F">
        <w:trPr>
          <w:trHeight w:val="506"/>
        </w:trPr>
        <w:tc>
          <w:tcPr>
            <w:tcW w:w="1800" w:type="dxa"/>
            <w:tcBorders>
              <w:top w:val="single" w:sz="12" w:space="0" w:color="auto"/>
              <w:bottom w:val="single" w:sz="4" w:space="0" w:color="auto"/>
            </w:tcBorders>
            <w:vAlign w:val="center"/>
          </w:tcPr>
          <w:p w:rsidR="00957C6F" w:rsidRPr="00DD3A0D" w:rsidRDefault="00957C6F" w:rsidP="0097339F">
            <w:pPr>
              <w:jc w:val="center"/>
              <w:rPr>
                <w:rFonts w:eastAsia="Calibri" w:cs="Times New Roman"/>
                <w:sz w:val="22"/>
              </w:rPr>
            </w:pPr>
            <w:r>
              <w:rPr>
                <w:rFonts w:eastAsia="Calibri" w:cs="Times New Roman"/>
                <w:sz w:val="22"/>
              </w:rPr>
              <w:t>Tábor étkeztető</w:t>
            </w:r>
          </w:p>
        </w:tc>
        <w:tc>
          <w:tcPr>
            <w:tcW w:w="1292" w:type="dxa"/>
            <w:gridSpan w:val="2"/>
            <w:tcBorders>
              <w:top w:val="single" w:sz="12" w:space="0" w:color="auto"/>
              <w:bottom w:val="single" w:sz="4" w:space="0" w:color="auto"/>
            </w:tcBorders>
            <w:vAlign w:val="center"/>
          </w:tcPr>
          <w:p w:rsidR="00957C6F" w:rsidRPr="006E666E" w:rsidRDefault="00957C6F" w:rsidP="0097339F">
            <w:pPr>
              <w:jc w:val="center"/>
              <w:rPr>
                <w:rFonts w:eastAsia="Calibri" w:cs="Times New Roman"/>
              </w:rPr>
            </w:pPr>
            <w:r>
              <w:rPr>
                <w:rFonts w:eastAsia="Calibri" w:cs="Times New Roman"/>
              </w:rPr>
              <w:t>289</w:t>
            </w:r>
          </w:p>
        </w:tc>
        <w:tc>
          <w:tcPr>
            <w:tcW w:w="1503" w:type="dxa"/>
            <w:tcBorders>
              <w:top w:val="single" w:sz="12" w:space="0" w:color="auto"/>
              <w:bottom w:val="single" w:sz="4" w:space="0" w:color="auto"/>
            </w:tcBorders>
            <w:vAlign w:val="center"/>
          </w:tcPr>
          <w:p w:rsidR="00957C6F" w:rsidRPr="006E666E" w:rsidRDefault="00957C6F" w:rsidP="0097339F">
            <w:pPr>
              <w:jc w:val="center"/>
              <w:rPr>
                <w:rFonts w:eastAsia="Calibri" w:cs="Times New Roman"/>
              </w:rPr>
            </w:pPr>
            <w:r>
              <w:rPr>
                <w:rFonts w:eastAsia="Calibri" w:cs="Times New Roman"/>
              </w:rPr>
              <w:t>282</w:t>
            </w:r>
          </w:p>
        </w:tc>
        <w:tc>
          <w:tcPr>
            <w:tcW w:w="1525" w:type="dxa"/>
            <w:tcBorders>
              <w:top w:val="single" w:sz="12" w:space="0" w:color="auto"/>
              <w:bottom w:val="single" w:sz="4" w:space="0" w:color="auto"/>
            </w:tcBorders>
            <w:vAlign w:val="center"/>
          </w:tcPr>
          <w:p w:rsidR="00957C6F" w:rsidRPr="006E666E" w:rsidRDefault="00957C6F" w:rsidP="0097339F">
            <w:pPr>
              <w:jc w:val="center"/>
              <w:rPr>
                <w:rFonts w:eastAsia="Calibri" w:cs="Times New Roman"/>
              </w:rPr>
            </w:pPr>
            <w:r>
              <w:rPr>
                <w:rFonts w:eastAsia="Calibri" w:cs="Times New Roman"/>
              </w:rPr>
              <w:t>236</w:t>
            </w:r>
          </w:p>
        </w:tc>
        <w:tc>
          <w:tcPr>
            <w:tcW w:w="1561" w:type="dxa"/>
            <w:tcBorders>
              <w:top w:val="single" w:sz="12" w:space="0" w:color="auto"/>
              <w:bottom w:val="single" w:sz="4" w:space="0" w:color="auto"/>
            </w:tcBorders>
            <w:vAlign w:val="center"/>
          </w:tcPr>
          <w:p w:rsidR="00957C6F" w:rsidRPr="006E666E" w:rsidRDefault="00957C6F" w:rsidP="0097339F">
            <w:pPr>
              <w:jc w:val="center"/>
              <w:rPr>
                <w:rFonts w:eastAsia="Calibri" w:cs="Times New Roman"/>
              </w:rPr>
            </w:pPr>
            <w:r>
              <w:rPr>
                <w:rFonts w:eastAsia="Calibri" w:cs="Times New Roman"/>
              </w:rPr>
              <w:t>38</w:t>
            </w:r>
          </w:p>
        </w:tc>
        <w:tc>
          <w:tcPr>
            <w:tcW w:w="2219" w:type="dxa"/>
            <w:tcBorders>
              <w:top w:val="single" w:sz="12" w:space="0" w:color="auto"/>
              <w:bottom w:val="single" w:sz="4" w:space="0" w:color="auto"/>
            </w:tcBorders>
            <w:vAlign w:val="center"/>
          </w:tcPr>
          <w:p w:rsidR="00957C6F" w:rsidRPr="006E666E" w:rsidRDefault="00957C6F" w:rsidP="0097339F">
            <w:pPr>
              <w:jc w:val="center"/>
              <w:rPr>
                <w:rFonts w:eastAsia="Calibri" w:cs="Times New Roman"/>
              </w:rPr>
            </w:pPr>
            <w:r>
              <w:rPr>
                <w:rFonts w:eastAsia="Calibri" w:cs="Times New Roman"/>
              </w:rPr>
              <w:t>8</w:t>
            </w:r>
          </w:p>
        </w:tc>
      </w:tr>
      <w:tr w:rsidR="00957C6F" w:rsidRPr="006E666E" w:rsidTr="0097339F">
        <w:trPr>
          <w:trHeight w:val="506"/>
        </w:trPr>
        <w:tc>
          <w:tcPr>
            <w:tcW w:w="1800" w:type="dxa"/>
            <w:tcBorders>
              <w:top w:val="single" w:sz="4" w:space="0" w:color="auto"/>
              <w:bottom w:val="single" w:sz="4" w:space="0" w:color="auto"/>
            </w:tcBorders>
            <w:vAlign w:val="center"/>
          </w:tcPr>
          <w:p w:rsidR="00957C6F" w:rsidRPr="00DD3A0D" w:rsidRDefault="00957C6F" w:rsidP="0097339F">
            <w:pPr>
              <w:jc w:val="center"/>
              <w:rPr>
                <w:rFonts w:eastAsia="Calibri" w:cs="Times New Roman"/>
                <w:sz w:val="22"/>
              </w:rPr>
            </w:pPr>
            <w:r w:rsidRPr="00DD3A0D">
              <w:rPr>
                <w:rFonts w:eastAsia="Calibri" w:cs="Times New Roman"/>
                <w:sz w:val="22"/>
              </w:rPr>
              <w:t>Rendezvények</w:t>
            </w:r>
            <w:r>
              <w:rPr>
                <w:rFonts w:eastAsia="Calibri" w:cs="Times New Roman"/>
                <w:sz w:val="22"/>
              </w:rPr>
              <w:t>re kitelepült</w:t>
            </w:r>
          </w:p>
        </w:tc>
        <w:tc>
          <w:tcPr>
            <w:tcW w:w="1292" w:type="dxa"/>
            <w:gridSpan w:val="2"/>
            <w:tcBorders>
              <w:top w:val="single" w:sz="4" w:space="0" w:color="auto"/>
              <w:bottom w:val="single" w:sz="4" w:space="0" w:color="auto"/>
            </w:tcBorders>
            <w:vAlign w:val="center"/>
          </w:tcPr>
          <w:p w:rsidR="00957C6F" w:rsidRPr="006E666E" w:rsidRDefault="00957C6F" w:rsidP="0097339F">
            <w:pPr>
              <w:jc w:val="center"/>
              <w:rPr>
                <w:rFonts w:eastAsia="Calibri" w:cs="Times New Roman"/>
              </w:rPr>
            </w:pPr>
            <w:r>
              <w:rPr>
                <w:rFonts w:eastAsia="Calibri" w:cs="Times New Roman"/>
              </w:rPr>
              <w:t>637</w:t>
            </w:r>
          </w:p>
        </w:tc>
        <w:tc>
          <w:tcPr>
            <w:tcW w:w="1503" w:type="dxa"/>
            <w:tcBorders>
              <w:top w:val="single" w:sz="4" w:space="0" w:color="auto"/>
              <w:bottom w:val="single" w:sz="4" w:space="0" w:color="auto"/>
            </w:tcBorders>
            <w:vAlign w:val="center"/>
          </w:tcPr>
          <w:p w:rsidR="00957C6F" w:rsidRPr="006E666E" w:rsidRDefault="00957C6F" w:rsidP="0097339F">
            <w:pPr>
              <w:jc w:val="center"/>
              <w:rPr>
                <w:rFonts w:eastAsia="Calibri" w:cs="Times New Roman"/>
              </w:rPr>
            </w:pPr>
            <w:r>
              <w:rPr>
                <w:rFonts w:eastAsia="Calibri" w:cs="Times New Roman"/>
              </w:rPr>
              <w:t>624</w:t>
            </w:r>
          </w:p>
        </w:tc>
        <w:tc>
          <w:tcPr>
            <w:tcW w:w="1525" w:type="dxa"/>
            <w:tcBorders>
              <w:top w:val="single" w:sz="4" w:space="0" w:color="auto"/>
              <w:bottom w:val="single" w:sz="4" w:space="0" w:color="auto"/>
            </w:tcBorders>
            <w:vAlign w:val="center"/>
          </w:tcPr>
          <w:p w:rsidR="00957C6F" w:rsidRPr="006E666E" w:rsidRDefault="00957C6F" w:rsidP="0097339F">
            <w:pPr>
              <w:jc w:val="center"/>
              <w:rPr>
                <w:rFonts w:eastAsia="Calibri" w:cs="Times New Roman"/>
              </w:rPr>
            </w:pPr>
            <w:r>
              <w:rPr>
                <w:rFonts w:eastAsia="Calibri" w:cs="Times New Roman"/>
              </w:rPr>
              <w:t>503</w:t>
            </w:r>
          </w:p>
        </w:tc>
        <w:tc>
          <w:tcPr>
            <w:tcW w:w="1561" w:type="dxa"/>
            <w:tcBorders>
              <w:top w:val="single" w:sz="4" w:space="0" w:color="auto"/>
              <w:bottom w:val="single" w:sz="4" w:space="0" w:color="auto"/>
            </w:tcBorders>
            <w:vAlign w:val="center"/>
          </w:tcPr>
          <w:p w:rsidR="00957C6F" w:rsidRPr="006E666E" w:rsidRDefault="00957C6F" w:rsidP="0097339F">
            <w:pPr>
              <w:jc w:val="center"/>
              <w:rPr>
                <w:rFonts w:eastAsia="Calibri" w:cs="Times New Roman"/>
              </w:rPr>
            </w:pPr>
            <w:r>
              <w:rPr>
                <w:rFonts w:eastAsia="Calibri" w:cs="Times New Roman"/>
              </w:rPr>
              <w:t>78</w:t>
            </w:r>
          </w:p>
        </w:tc>
        <w:tc>
          <w:tcPr>
            <w:tcW w:w="2219" w:type="dxa"/>
            <w:tcBorders>
              <w:top w:val="single" w:sz="4" w:space="0" w:color="auto"/>
              <w:bottom w:val="single" w:sz="4" w:space="0" w:color="auto"/>
            </w:tcBorders>
            <w:vAlign w:val="center"/>
          </w:tcPr>
          <w:p w:rsidR="00957C6F" w:rsidRPr="006E666E" w:rsidRDefault="00957C6F" w:rsidP="0097339F">
            <w:pPr>
              <w:jc w:val="center"/>
              <w:rPr>
                <w:rFonts w:eastAsia="Calibri" w:cs="Times New Roman"/>
              </w:rPr>
            </w:pPr>
            <w:r>
              <w:rPr>
                <w:rFonts w:eastAsia="Calibri" w:cs="Times New Roman"/>
              </w:rPr>
              <w:t>43</w:t>
            </w:r>
          </w:p>
        </w:tc>
      </w:tr>
      <w:tr w:rsidR="00957C6F" w:rsidRPr="006E666E" w:rsidTr="0097339F">
        <w:trPr>
          <w:trHeight w:val="506"/>
        </w:trPr>
        <w:tc>
          <w:tcPr>
            <w:tcW w:w="1800" w:type="dxa"/>
            <w:tcBorders>
              <w:top w:val="single" w:sz="4" w:space="0" w:color="auto"/>
              <w:bottom w:val="single" w:sz="12" w:space="0" w:color="auto"/>
            </w:tcBorders>
            <w:vAlign w:val="center"/>
          </w:tcPr>
          <w:p w:rsidR="00957C6F" w:rsidRPr="00DD3A0D" w:rsidRDefault="00957C6F" w:rsidP="0097339F">
            <w:pPr>
              <w:jc w:val="center"/>
              <w:rPr>
                <w:rFonts w:eastAsia="Calibri" w:cs="Times New Roman"/>
                <w:sz w:val="22"/>
              </w:rPr>
            </w:pPr>
            <w:r>
              <w:rPr>
                <w:rFonts w:eastAsia="Calibri" w:cs="Times New Roman"/>
                <w:sz w:val="22"/>
              </w:rPr>
              <w:t>vendéglátó üzlet</w:t>
            </w:r>
          </w:p>
        </w:tc>
        <w:tc>
          <w:tcPr>
            <w:tcW w:w="1292" w:type="dxa"/>
            <w:gridSpan w:val="2"/>
            <w:tcBorders>
              <w:top w:val="single" w:sz="4" w:space="0" w:color="auto"/>
              <w:bottom w:val="single" w:sz="12" w:space="0" w:color="auto"/>
            </w:tcBorders>
            <w:vAlign w:val="center"/>
          </w:tcPr>
          <w:p w:rsidR="00957C6F" w:rsidRPr="006E666E" w:rsidRDefault="00957C6F" w:rsidP="0097339F">
            <w:pPr>
              <w:jc w:val="center"/>
              <w:rPr>
                <w:rFonts w:eastAsia="Calibri" w:cs="Times New Roman"/>
              </w:rPr>
            </w:pPr>
            <w:r>
              <w:rPr>
                <w:rFonts w:eastAsia="Calibri" w:cs="Times New Roman"/>
              </w:rPr>
              <w:t>4077</w:t>
            </w:r>
          </w:p>
        </w:tc>
        <w:tc>
          <w:tcPr>
            <w:tcW w:w="1503" w:type="dxa"/>
            <w:tcBorders>
              <w:top w:val="single" w:sz="4" w:space="0" w:color="auto"/>
              <w:bottom w:val="single" w:sz="12" w:space="0" w:color="auto"/>
            </w:tcBorders>
            <w:vAlign w:val="center"/>
          </w:tcPr>
          <w:p w:rsidR="00957C6F" w:rsidRPr="006E666E" w:rsidRDefault="00957C6F" w:rsidP="0097339F">
            <w:pPr>
              <w:jc w:val="center"/>
              <w:rPr>
                <w:rFonts w:eastAsia="Calibri" w:cs="Times New Roman"/>
              </w:rPr>
            </w:pPr>
            <w:r>
              <w:rPr>
                <w:rFonts w:eastAsia="Calibri" w:cs="Times New Roman"/>
              </w:rPr>
              <w:t>4027</w:t>
            </w:r>
          </w:p>
        </w:tc>
        <w:tc>
          <w:tcPr>
            <w:tcW w:w="1525" w:type="dxa"/>
            <w:tcBorders>
              <w:top w:val="single" w:sz="4" w:space="0" w:color="auto"/>
              <w:bottom w:val="single" w:sz="12" w:space="0" w:color="auto"/>
            </w:tcBorders>
            <w:vAlign w:val="center"/>
          </w:tcPr>
          <w:p w:rsidR="00957C6F" w:rsidRPr="006E666E" w:rsidRDefault="00957C6F" w:rsidP="0097339F">
            <w:pPr>
              <w:jc w:val="center"/>
              <w:rPr>
                <w:rFonts w:eastAsia="Calibri" w:cs="Times New Roman"/>
              </w:rPr>
            </w:pPr>
            <w:r>
              <w:rPr>
                <w:rFonts w:eastAsia="Calibri" w:cs="Times New Roman"/>
              </w:rPr>
              <w:t>3283</w:t>
            </w:r>
          </w:p>
        </w:tc>
        <w:tc>
          <w:tcPr>
            <w:tcW w:w="1561" w:type="dxa"/>
            <w:tcBorders>
              <w:top w:val="single" w:sz="4" w:space="0" w:color="auto"/>
              <w:bottom w:val="single" w:sz="12" w:space="0" w:color="auto"/>
            </w:tcBorders>
            <w:vAlign w:val="center"/>
          </w:tcPr>
          <w:p w:rsidR="00957C6F" w:rsidRPr="006E666E" w:rsidRDefault="00957C6F" w:rsidP="0097339F">
            <w:pPr>
              <w:jc w:val="center"/>
              <w:rPr>
                <w:rFonts w:eastAsia="Calibri" w:cs="Times New Roman"/>
              </w:rPr>
            </w:pPr>
            <w:r>
              <w:rPr>
                <w:rFonts w:eastAsia="Calibri" w:cs="Times New Roman"/>
              </w:rPr>
              <w:t>583</w:t>
            </w:r>
          </w:p>
        </w:tc>
        <w:tc>
          <w:tcPr>
            <w:tcW w:w="2219" w:type="dxa"/>
            <w:tcBorders>
              <w:top w:val="single" w:sz="4" w:space="0" w:color="auto"/>
              <w:bottom w:val="single" w:sz="12" w:space="0" w:color="auto"/>
            </w:tcBorders>
            <w:vAlign w:val="center"/>
          </w:tcPr>
          <w:p w:rsidR="00957C6F" w:rsidRPr="006E666E" w:rsidRDefault="00957C6F" w:rsidP="0097339F">
            <w:pPr>
              <w:jc w:val="center"/>
              <w:rPr>
                <w:rFonts w:eastAsia="Calibri" w:cs="Times New Roman"/>
              </w:rPr>
            </w:pPr>
            <w:r>
              <w:rPr>
                <w:rFonts w:eastAsia="Calibri" w:cs="Times New Roman"/>
              </w:rPr>
              <w:t>161</w:t>
            </w:r>
          </w:p>
        </w:tc>
      </w:tr>
      <w:tr w:rsidR="00957C6F" w:rsidRPr="006E666E" w:rsidTr="0097339F">
        <w:trPr>
          <w:trHeight w:val="793"/>
        </w:trPr>
        <w:tc>
          <w:tcPr>
            <w:tcW w:w="1800" w:type="dxa"/>
            <w:tcBorders>
              <w:top w:val="single" w:sz="12" w:space="0" w:color="auto"/>
              <w:bottom w:val="single" w:sz="12" w:space="0" w:color="auto"/>
            </w:tcBorders>
            <w:vAlign w:val="center"/>
          </w:tcPr>
          <w:p w:rsidR="00957C6F" w:rsidRPr="006305F8" w:rsidRDefault="00957C6F" w:rsidP="0097339F">
            <w:pPr>
              <w:jc w:val="center"/>
              <w:rPr>
                <w:rFonts w:eastAsia="Calibri" w:cs="Times New Roman"/>
                <w:b/>
              </w:rPr>
            </w:pPr>
            <w:r w:rsidRPr="006305F8">
              <w:rPr>
                <w:rFonts w:eastAsia="Calibri" w:cs="Times New Roman"/>
                <w:b/>
              </w:rPr>
              <w:t>Összesen</w:t>
            </w:r>
          </w:p>
        </w:tc>
        <w:tc>
          <w:tcPr>
            <w:tcW w:w="1292" w:type="dxa"/>
            <w:gridSpan w:val="2"/>
            <w:tcBorders>
              <w:top w:val="single" w:sz="12" w:space="0" w:color="auto"/>
              <w:bottom w:val="single" w:sz="12" w:space="0" w:color="auto"/>
            </w:tcBorders>
            <w:vAlign w:val="center"/>
          </w:tcPr>
          <w:p w:rsidR="00957C6F" w:rsidRPr="006305F8" w:rsidRDefault="00957C6F" w:rsidP="0097339F">
            <w:pPr>
              <w:jc w:val="center"/>
              <w:rPr>
                <w:rFonts w:eastAsia="Calibri" w:cs="Times New Roman"/>
                <w:b/>
              </w:rPr>
            </w:pPr>
            <w:r w:rsidRPr="006305F8">
              <w:rPr>
                <w:rFonts w:eastAsia="Calibri" w:cs="Times New Roman"/>
                <w:b/>
              </w:rPr>
              <w:t>5003</w:t>
            </w:r>
          </w:p>
        </w:tc>
        <w:tc>
          <w:tcPr>
            <w:tcW w:w="1503" w:type="dxa"/>
            <w:tcBorders>
              <w:top w:val="single" w:sz="12" w:space="0" w:color="auto"/>
              <w:bottom w:val="single" w:sz="12" w:space="0" w:color="auto"/>
            </w:tcBorders>
            <w:vAlign w:val="center"/>
          </w:tcPr>
          <w:p w:rsidR="00957C6F" w:rsidRPr="006305F8" w:rsidRDefault="00957C6F" w:rsidP="0097339F">
            <w:pPr>
              <w:jc w:val="center"/>
              <w:rPr>
                <w:rFonts w:eastAsia="Calibri" w:cs="Times New Roman"/>
                <w:b/>
              </w:rPr>
            </w:pPr>
            <w:r w:rsidRPr="006305F8">
              <w:rPr>
                <w:rFonts w:eastAsia="Calibri" w:cs="Times New Roman"/>
                <w:b/>
              </w:rPr>
              <w:t>4933</w:t>
            </w:r>
          </w:p>
        </w:tc>
        <w:tc>
          <w:tcPr>
            <w:tcW w:w="1525" w:type="dxa"/>
            <w:tcBorders>
              <w:top w:val="single" w:sz="12" w:space="0" w:color="auto"/>
              <w:bottom w:val="single" w:sz="12" w:space="0" w:color="auto"/>
            </w:tcBorders>
            <w:vAlign w:val="center"/>
          </w:tcPr>
          <w:p w:rsidR="00957C6F" w:rsidRDefault="00957C6F" w:rsidP="0097339F">
            <w:pPr>
              <w:jc w:val="center"/>
              <w:rPr>
                <w:rFonts w:eastAsia="Calibri" w:cs="Times New Roman"/>
                <w:b/>
              </w:rPr>
            </w:pPr>
            <w:r w:rsidRPr="006305F8">
              <w:rPr>
                <w:rFonts w:eastAsia="Calibri" w:cs="Times New Roman"/>
                <w:b/>
              </w:rPr>
              <w:t>4022</w:t>
            </w:r>
          </w:p>
          <w:p w:rsidR="00957C6F" w:rsidRPr="006305F8" w:rsidRDefault="00957C6F" w:rsidP="0097339F">
            <w:pPr>
              <w:jc w:val="center"/>
              <w:rPr>
                <w:rFonts w:eastAsia="Calibri" w:cs="Times New Roman"/>
              </w:rPr>
            </w:pPr>
            <w:r w:rsidRPr="006305F8">
              <w:rPr>
                <w:rFonts w:eastAsia="Calibri" w:cs="Times New Roman"/>
              </w:rPr>
              <w:t>(81,5 %)</w:t>
            </w:r>
          </w:p>
        </w:tc>
        <w:tc>
          <w:tcPr>
            <w:tcW w:w="1561" w:type="dxa"/>
            <w:tcBorders>
              <w:top w:val="single" w:sz="12" w:space="0" w:color="auto"/>
              <w:bottom w:val="single" w:sz="12" w:space="0" w:color="auto"/>
            </w:tcBorders>
            <w:vAlign w:val="center"/>
          </w:tcPr>
          <w:p w:rsidR="00957C6F" w:rsidRDefault="00957C6F" w:rsidP="0097339F">
            <w:pPr>
              <w:jc w:val="center"/>
              <w:rPr>
                <w:rFonts w:eastAsia="Calibri" w:cs="Times New Roman"/>
                <w:b/>
              </w:rPr>
            </w:pPr>
            <w:r w:rsidRPr="006305F8">
              <w:rPr>
                <w:rFonts w:eastAsia="Calibri" w:cs="Times New Roman"/>
                <w:b/>
              </w:rPr>
              <w:t>699</w:t>
            </w:r>
          </w:p>
          <w:p w:rsidR="00957C6F" w:rsidRPr="006305F8" w:rsidRDefault="00957C6F" w:rsidP="0097339F">
            <w:pPr>
              <w:jc w:val="center"/>
              <w:rPr>
                <w:rFonts w:eastAsia="Calibri" w:cs="Times New Roman"/>
              </w:rPr>
            </w:pPr>
            <w:r>
              <w:rPr>
                <w:rFonts w:eastAsia="Calibri" w:cs="Times New Roman"/>
              </w:rPr>
              <w:t>(14,1 %)</w:t>
            </w:r>
          </w:p>
        </w:tc>
        <w:tc>
          <w:tcPr>
            <w:tcW w:w="2219" w:type="dxa"/>
            <w:tcBorders>
              <w:top w:val="single" w:sz="12" w:space="0" w:color="auto"/>
              <w:bottom w:val="single" w:sz="12" w:space="0" w:color="auto"/>
            </w:tcBorders>
            <w:vAlign w:val="center"/>
          </w:tcPr>
          <w:p w:rsidR="00957C6F" w:rsidRDefault="00957C6F" w:rsidP="0097339F">
            <w:pPr>
              <w:jc w:val="center"/>
              <w:rPr>
                <w:rFonts w:eastAsia="Calibri" w:cs="Times New Roman"/>
                <w:b/>
              </w:rPr>
            </w:pPr>
            <w:r w:rsidRPr="006305F8">
              <w:rPr>
                <w:rFonts w:eastAsia="Calibri" w:cs="Times New Roman"/>
                <w:b/>
              </w:rPr>
              <w:t>212</w:t>
            </w:r>
          </w:p>
          <w:p w:rsidR="00957C6F" w:rsidRPr="006305F8" w:rsidRDefault="00957C6F" w:rsidP="0097339F">
            <w:pPr>
              <w:jc w:val="center"/>
              <w:rPr>
                <w:rFonts w:eastAsia="Calibri" w:cs="Times New Roman"/>
              </w:rPr>
            </w:pPr>
            <w:r>
              <w:rPr>
                <w:rFonts w:eastAsia="Calibri" w:cs="Times New Roman"/>
              </w:rPr>
              <w:t>(4,2 %)</w:t>
            </w:r>
          </w:p>
        </w:tc>
      </w:tr>
    </w:tbl>
    <w:p w:rsidR="00957C6F" w:rsidRDefault="00957C6F" w:rsidP="00957C6F">
      <w:pPr>
        <w:jc w:val="left"/>
        <w:rPr>
          <w:rFonts w:eastAsia="Calibri" w:cs="Times New Roman"/>
        </w:rPr>
      </w:pPr>
    </w:p>
    <w:p w:rsidR="00957C6F" w:rsidRDefault="00957C6F" w:rsidP="00957C6F">
      <w:pPr>
        <w:jc w:val="left"/>
        <w:rPr>
          <w:rFonts w:eastAsia="Calibri" w:cs="Times New Roman"/>
        </w:rPr>
      </w:pPr>
    </w:p>
    <w:p w:rsidR="00957C6F" w:rsidRDefault="00957C6F" w:rsidP="00957C6F">
      <w:pPr>
        <w:rPr>
          <w:rFonts w:eastAsia="Calibri" w:cs="Times New Roman"/>
        </w:rPr>
      </w:pPr>
      <w:r>
        <w:rPr>
          <w:rFonts w:eastAsia="Calibri" w:cs="Times New Roman"/>
        </w:rPr>
        <w:t xml:space="preserve">A vendéglátás területéről összességében az akcióellenőrzés adatai alapján elmondható, hogy a 4.933 megvizsgált létesítmény többsége 4.022 (81,5 %), megfelelően működött. Higiéniai hiányosság a vizsgált vendéglátóhelyek 14,1% -ánál fordult elő, és az ellenőrzött egységek 4,2 % -át érintette valamilyen hatósági intézkedés. A megvizsgált vendéglátóknak 0,8 % -ában vált szükségessé tevékenység korlátozás. Az intézkedéseknek több mint fele csupán figyelmeztetés volt, és 208 alkalommal került sor pénzbírság kiszabására, összesen </w:t>
      </w:r>
      <w:smartTag w:uri="urn:schemas-microsoft-com:office:smarttags" w:element="metricconverter">
        <w:smartTagPr>
          <w:attr w:name="ProductID" w:val="14.796.960 Ft"/>
        </w:smartTagPr>
        <w:r>
          <w:rPr>
            <w:rFonts w:eastAsia="Calibri" w:cs="Times New Roman"/>
          </w:rPr>
          <w:t>14.796.960 Ft</w:t>
        </w:r>
      </w:smartTag>
      <w:r>
        <w:rPr>
          <w:rFonts w:eastAsia="Calibri" w:cs="Times New Roman"/>
        </w:rPr>
        <w:t xml:space="preserve"> értékben.</w:t>
      </w:r>
    </w:p>
    <w:p w:rsidR="00957C6F" w:rsidRDefault="00957C6F" w:rsidP="00957C6F">
      <w:pPr>
        <w:rPr>
          <w:rFonts w:eastAsia="Calibri" w:cs="Times New Roman"/>
        </w:rPr>
      </w:pPr>
    </w:p>
    <w:p w:rsidR="00957C6F" w:rsidRDefault="00957C6F" w:rsidP="00957C6F">
      <w:pPr>
        <w:rPr>
          <w:rFonts w:eastAsia="Calibri" w:cs="Times New Roman"/>
        </w:rPr>
      </w:pPr>
      <w:r>
        <w:rPr>
          <w:rFonts w:eastAsia="Calibri" w:cs="Times New Roman"/>
        </w:rPr>
        <w:t xml:space="preserve">A 2012. évi szezonban végzett ellenőrzések eredményei általánosan kedvezőbb képet mutatnak az előző évinél, ugyanis több ellenőrzés során kevesebb bírság kiszabását igénylő hiányosság volt észlelhető. (2011. évben összesen 4617 ellenőrzésből 263 esetben került sor bírság kiszabására </w:t>
      </w:r>
      <w:smartTag w:uri="urn:schemas-microsoft-com:office:smarttags" w:element="metricconverter">
        <w:smartTagPr>
          <w:attr w:name="ProductID" w:val="24.488.000 Ft"/>
        </w:smartTagPr>
        <w:r>
          <w:rPr>
            <w:rFonts w:eastAsia="Calibri" w:cs="Times New Roman"/>
          </w:rPr>
          <w:t>24.488.000 Ft</w:t>
        </w:r>
      </w:smartTag>
      <w:r>
        <w:rPr>
          <w:rFonts w:eastAsia="Calibri" w:cs="Times New Roman"/>
        </w:rPr>
        <w:t xml:space="preserve"> értékben. )</w:t>
      </w:r>
    </w:p>
    <w:p w:rsidR="00957C6F" w:rsidRDefault="00957C6F" w:rsidP="00957C6F">
      <w:pPr>
        <w:rPr>
          <w:rFonts w:eastAsia="Calibri" w:cs="Times New Roman"/>
        </w:rPr>
      </w:pPr>
      <w:r>
        <w:rPr>
          <w:rFonts w:eastAsia="Calibri" w:cs="Times New Roman"/>
        </w:rPr>
        <w:t>A kisebb élelmiszer-biztonsági hiányosságoknál alkalmazandó bírságolás nélküli „figyelmeztetés” –t  idén 235, míg az előző évben 273 esetben kellett alkalmazni.</w:t>
      </w:r>
    </w:p>
    <w:p w:rsidR="00957C6F" w:rsidRDefault="00957C6F" w:rsidP="00957C6F">
      <w:pPr>
        <w:rPr>
          <w:rFonts w:eastAsia="Calibri" w:cs="Times New Roman"/>
        </w:rPr>
      </w:pPr>
      <w:r>
        <w:rPr>
          <w:rFonts w:eastAsia="Calibri" w:cs="Times New Roman"/>
        </w:rPr>
        <w:t xml:space="preserve">A tevékenység korlátozások száma azonban megnőtt, a tavalyi 27-el szemben idén 43 esetben volt szükség a vendéglátó tevékenység valamilyen szintű korlátozására. </w:t>
      </w:r>
    </w:p>
    <w:p w:rsidR="00957C6F" w:rsidRDefault="00957C6F" w:rsidP="00957C6F">
      <w:pPr>
        <w:rPr>
          <w:rFonts w:eastAsia="Calibri" w:cs="Times New Roman"/>
        </w:rPr>
      </w:pPr>
    </w:p>
    <w:p w:rsidR="00957C6F" w:rsidRDefault="00957C6F" w:rsidP="00957C6F">
      <w:pPr>
        <w:rPr>
          <w:rFonts w:eastAsia="Calibri" w:cs="Times New Roman"/>
        </w:rPr>
      </w:pPr>
      <w:r>
        <w:rPr>
          <w:rFonts w:eastAsia="Calibri" w:cs="Times New Roman"/>
        </w:rPr>
        <w:t>Közel egy éve hatályos a vendéglátó-ipari termékek előállításának és forgalomba hozatalának élelmiszerbiztonsági feltételeit meghatározó 62/2011. (VI.30.) VM rendelet, amely az előzőekben megszokottól eltérően rugalmasabban szabályoz, és amely megfelelő alapját képezte a széles szakmai és társadalmi konszenzussal, hatósági és szakmai civil szervezeti együttműködéssel idén márciusra elkészült vendéglátásra vonatkozó nemzeti jó higiéniai útmutatónak.</w:t>
      </w:r>
    </w:p>
    <w:p w:rsidR="00957C6F" w:rsidRDefault="00957C6F" w:rsidP="00957C6F">
      <w:pPr>
        <w:rPr>
          <w:rFonts w:eastAsia="Calibri" w:cs="Times New Roman"/>
        </w:rPr>
      </w:pPr>
    </w:p>
    <w:p w:rsidR="00957C6F" w:rsidRDefault="00957C6F" w:rsidP="00957C6F">
      <w:pPr>
        <w:rPr>
          <w:rFonts w:eastAsia="Calibri" w:cs="Times New Roman"/>
        </w:rPr>
      </w:pPr>
      <w:r>
        <w:rPr>
          <w:rFonts w:eastAsia="Calibri" w:cs="Times New Roman"/>
        </w:rPr>
        <w:t>A rugalmasabb, a vállalkozásokra nagyobb döntési szabadságot és felelősséget adó új rendelet ellenzőinek jóslása nem vált be, a rendelet korszerű szellemiségének létjogosultságát és életképességét igazolják az akcióellenőrzés adatai.</w:t>
      </w:r>
    </w:p>
    <w:p w:rsidR="00957C6F" w:rsidRDefault="00957C6F" w:rsidP="00957C6F">
      <w:pPr>
        <w:rPr>
          <w:rFonts w:eastAsia="Calibri" w:cs="Times New Roman"/>
        </w:rPr>
      </w:pPr>
    </w:p>
    <w:p w:rsidR="005C0D3B" w:rsidRDefault="005C0D3B" w:rsidP="00957C6F">
      <w:pPr>
        <w:rPr>
          <w:rFonts w:eastAsia="Calibri" w:cs="Times New Roman"/>
          <w:b/>
          <w:u w:val="single"/>
        </w:rPr>
      </w:pPr>
    </w:p>
    <w:p w:rsidR="00957C6F" w:rsidRPr="00DE30E0" w:rsidRDefault="00957C6F" w:rsidP="00957C6F">
      <w:pPr>
        <w:rPr>
          <w:rFonts w:eastAsia="Calibri" w:cs="Times New Roman"/>
          <w:b/>
          <w:u w:val="single"/>
        </w:rPr>
      </w:pPr>
      <w:r w:rsidRPr="00DE30E0">
        <w:rPr>
          <w:rFonts w:eastAsia="Calibri" w:cs="Times New Roman"/>
          <w:b/>
          <w:u w:val="single"/>
        </w:rPr>
        <w:t>A vendéglátás és étkeztetés ellenőrzésének tapasztalatait</w:t>
      </w:r>
      <w:r>
        <w:rPr>
          <w:rFonts w:eastAsia="Calibri" w:cs="Times New Roman"/>
          <w:b/>
          <w:u w:val="single"/>
        </w:rPr>
        <w:t>,</w:t>
      </w:r>
      <w:r w:rsidRPr="00DE30E0">
        <w:rPr>
          <w:rFonts w:eastAsia="Calibri" w:cs="Times New Roman"/>
          <w:b/>
          <w:u w:val="single"/>
        </w:rPr>
        <w:t xml:space="preserve"> a táborok, rendezvények és vendéglátó üzletek szerint tovább bontva:  </w:t>
      </w:r>
    </w:p>
    <w:p w:rsidR="00957C6F" w:rsidRDefault="00957C6F" w:rsidP="00957C6F">
      <w:pPr>
        <w:rPr>
          <w:rFonts w:eastAsia="Calibri" w:cs="Times New Roman"/>
          <w:b/>
          <w:u w:val="single"/>
        </w:rPr>
      </w:pPr>
    </w:p>
    <w:p w:rsidR="00957C6F" w:rsidRDefault="00957C6F" w:rsidP="00957C6F">
      <w:pPr>
        <w:rPr>
          <w:rFonts w:eastAsia="Calibri" w:cs="Times New Roman"/>
          <w:b/>
          <w:u w:val="single"/>
        </w:rPr>
      </w:pPr>
      <w:r>
        <w:rPr>
          <w:rFonts w:eastAsia="Calibri" w:cs="Times New Roman"/>
          <w:b/>
          <w:u w:val="single"/>
        </w:rPr>
        <w:t>1. Táborok</w:t>
      </w:r>
    </w:p>
    <w:p w:rsidR="00957C6F" w:rsidRDefault="00957C6F" w:rsidP="00957C6F">
      <w:pPr>
        <w:rPr>
          <w:rFonts w:eastAsia="Calibri" w:cs="Times New Roman"/>
          <w:b/>
          <w:u w:val="single"/>
        </w:rPr>
      </w:pPr>
    </w:p>
    <w:p w:rsidR="00957C6F" w:rsidRDefault="00957C6F" w:rsidP="00957C6F">
      <w:pPr>
        <w:rPr>
          <w:rFonts w:eastAsia="Calibri" w:cs="Times New Roman"/>
        </w:rPr>
      </w:pPr>
      <w:r>
        <w:rPr>
          <w:rFonts w:eastAsia="Calibri" w:cs="Times New Roman"/>
        </w:rPr>
        <w:t>Tárgyidőszakban összesen 23.797</w:t>
      </w:r>
      <w:r w:rsidRPr="004279F3">
        <w:rPr>
          <w:rFonts w:eastAsia="Calibri" w:cs="Times New Roman"/>
        </w:rPr>
        <w:t xml:space="preserve"> </w:t>
      </w:r>
      <w:r>
        <w:rPr>
          <w:rFonts w:eastAsia="Calibri" w:cs="Times New Roman"/>
        </w:rPr>
        <w:t xml:space="preserve">táborozó fiatalkorú étkeztetését biztosító létesítmény (282 db) élelmiszerbiztonsági ellenőrzésére került sor, 83,6 %- os megfelelőséggel. A hatósági eljárások során 7 alkalommal történt figyelmeztetés, 5 alkalommal összesen </w:t>
      </w:r>
      <w:smartTag w:uri="urn:schemas-microsoft-com:office:smarttags" w:element="metricconverter">
        <w:smartTagPr>
          <w:attr w:name="ProductID" w:val="560.000 Ft"/>
        </w:smartTagPr>
        <w:r>
          <w:rPr>
            <w:rFonts w:eastAsia="Calibri" w:cs="Times New Roman"/>
          </w:rPr>
          <w:t>560.000 Ft</w:t>
        </w:r>
      </w:smartTag>
      <w:r>
        <w:rPr>
          <w:rFonts w:eastAsia="Calibri" w:cs="Times New Roman"/>
        </w:rPr>
        <w:t xml:space="preserve"> értékben bírságolás. 25 esetben, összesen </w:t>
      </w:r>
      <w:smartTag w:uri="urn:schemas-microsoft-com:office:smarttags" w:element="metricconverter">
        <w:smartTagPr>
          <w:attr w:name="ProductID" w:val="109,4 kg"/>
        </w:smartTagPr>
        <w:r>
          <w:rPr>
            <w:rFonts w:eastAsia="Calibri" w:cs="Times New Roman"/>
          </w:rPr>
          <w:t>109,4 kg</w:t>
        </w:r>
      </w:smartTag>
      <w:r>
        <w:rPr>
          <w:rFonts w:eastAsia="Calibri" w:cs="Times New Roman"/>
        </w:rPr>
        <w:t xml:space="preserve"> élelmiszer kivonásáról kellett a tábori étkeztetésben intézkedni, </w:t>
      </w:r>
      <w:smartTag w:uri="urn:schemas-microsoft-com:office:smarttags" w:element="metricconverter">
        <w:smartTagPr>
          <w:attr w:name="ProductID" w:val="55.571 Ft"/>
        </w:smartTagPr>
        <w:r>
          <w:rPr>
            <w:rFonts w:eastAsia="Calibri" w:cs="Times New Roman"/>
          </w:rPr>
          <w:t>55.571 Ft</w:t>
        </w:r>
      </w:smartTag>
      <w:r>
        <w:rPr>
          <w:rFonts w:eastAsia="Calibri" w:cs="Times New Roman"/>
        </w:rPr>
        <w:t xml:space="preserve"> összértékben.</w:t>
      </w:r>
      <w:r w:rsidDel="00DE30E0">
        <w:rPr>
          <w:rFonts w:eastAsia="Calibri" w:cs="Times New Roman"/>
        </w:rPr>
        <w:t xml:space="preserve"> </w:t>
      </w:r>
    </w:p>
    <w:p w:rsidR="00957C6F" w:rsidRDefault="00957C6F" w:rsidP="00957C6F">
      <w:pPr>
        <w:rPr>
          <w:rFonts w:eastAsia="Calibri" w:cs="Times New Roman"/>
        </w:rPr>
      </w:pPr>
      <w:r>
        <w:rPr>
          <w:rFonts w:eastAsia="Calibri" w:cs="Times New Roman"/>
        </w:rPr>
        <w:t xml:space="preserve">Az idei szezonban hat táborból jelentettek élelmiszer eredetű megbetegedés gyanút, ebből a vizsgálatok alapján 3 esemény bizonyult élelmiszer eredetűnek, amelyben összesen 127 gyermek betegedett meg, és 17-et ápoltak kórházban. Élelmiszer eredetű megbetegedés miatt </w:t>
      </w:r>
      <w:r w:rsidRPr="0067330D">
        <w:rPr>
          <w:rFonts w:eastAsia="Calibri" w:cs="Times New Roman"/>
        </w:rPr>
        <w:t>két tábori étkeztetést ellátó főzőkonyha üzemeltetése került felfüggesztésre.</w:t>
      </w:r>
    </w:p>
    <w:p w:rsidR="00957C6F" w:rsidRDefault="00957C6F" w:rsidP="00957C6F">
      <w:pPr>
        <w:rPr>
          <w:rFonts w:eastAsia="Calibri" w:cs="Times New Roman"/>
        </w:rPr>
      </w:pPr>
    </w:p>
    <w:p w:rsidR="00957C6F" w:rsidRDefault="00957C6F" w:rsidP="00957C6F">
      <w:pPr>
        <w:numPr>
          <w:ilvl w:val="0"/>
          <w:numId w:val="1"/>
        </w:numPr>
        <w:jc w:val="left"/>
        <w:rPr>
          <w:rFonts w:eastAsia="Calibri" w:cs="Times New Roman"/>
          <w:i/>
        </w:rPr>
      </w:pPr>
      <w:r w:rsidRPr="006305F8">
        <w:rPr>
          <w:rFonts w:eastAsia="Calibri" w:cs="Times New Roman"/>
          <w:i/>
        </w:rPr>
        <w:t>sz. ábra</w:t>
      </w:r>
    </w:p>
    <w:p w:rsidR="005C0D3B" w:rsidRPr="006305F8" w:rsidRDefault="005C0D3B" w:rsidP="005C0D3B">
      <w:pPr>
        <w:ind w:left="360"/>
        <w:jc w:val="left"/>
        <w:rPr>
          <w:rFonts w:eastAsia="Calibri" w:cs="Times New Roman"/>
          <w:i/>
        </w:rPr>
      </w:pPr>
    </w:p>
    <w:p w:rsidR="00957C6F" w:rsidRPr="00A06DA1" w:rsidRDefault="00957C6F" w:rsidP="00957C6F">
      <w:pPr>
        <w:jc w:val="center"/>
        <w:rPr>
          <w:rFonts w:eastAsia="Calibri" w:cs="Times New Roman"/>
          <w:b/>
        </w:rPr>
      </w:pPr>
      <w:r w:rsidRPr="00A06DA1">
        <w:rPr>
          <w:rFonts w:eastAsia="Calibri" w:cs="Times New Roman"/>
          <w:b/>
        </w:rPr>
        <w:t>Táborok élelmiszer</w:t>
      </w:r>
      <w:r>
        <w:rPr>
          <w:rFonts w:eastAsia="Calibri" w:cs="Times New Roman"/>
          <w:b/>
        </w:rPr>
        <w:t>-</w:t>
      </w:r>
      <w:r w:rsidRPr="00A06DA1">
        <w:rPr>
          <w:rFonts w:eastAsia="Calibri" w:cs="Times New Roman"/>
          <w:b/>
        </w:rPr>
        <w:t xml:space="preserve">biztonsági ellenőrzése </w:t>
      </w:r>
      <w:r>
        <w:rPr>
          <w:rFonts w:eastAsia="Calibri" w:cs="Times New Roman"/>
          <w:b/>
        </w:rPr>
        <w:t>07. 01. - 08. 31</w:t>
      </w:r>
      <w:r w:rsidRPr="00A06DA1">
        <w:rPr>
          <w:rFonts w:eastAsia="Calibri" w:cs="Times New Roman"/>
          <w:b/>
        </w:rPr>
        <w:t>.</w:t>
      </w:r>
    </w:p>
    <w:p w:rsidR="00957C6F" w:rsidRDefault="00957C6F" w:rsidP="00957C6F">
      <w:pPr>
        <w:rPr>
          <w:rFonts w:eastAsia="Calibri" w:cs="Times New Roman"/>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24"/>
        <w:gridCol w:w="1454"/>
        <w:gridCol w:w="1502"/>
        <w:gridCol w:w="1576"/>
        <w:gridCol w:w="1576"/>
        <w:gridCol w:w="1656"/>
      </w:tblGrid>
      <w:tr w:rsidR="00957C6F" w:rsidRPr="006E666E" w:rsidTr="0097339F">
        <w:tc>
          <w:tcPr>
            <w:tcW w:w="1524" w:type="dxa"/>
            <w:vMerge w:val="restart"/>
            <w:tcBorders>
              <w:top w:val="single" w:sz="12" w:space="0" w:color="auto"/>
            </w:tcBorders>
            <w:shd w:val="clear" w:color="auto" w:fill="FFFF99"/>
          </w:tcPr>
          <w:p w:rsidR="00957C6F" w:rsidRPr="006E666E" w:rsidRDefault="00957C6F" w:rsidP="0097339F">
            <w:pPr>
              <w:rPr>
                <w:rFonts w:eastAsia="Calibri" w:cs="Times New Roman"/>
              </w:rPr>
            </w:pPr>
          </w:p>
          <w:p w:rsidR="00957C6F" w:rsidRPr="006E666E" w:rsidRDefault="00957C6F" w:rsidP="0097339F">
            <w:pPr>
              <w:rPr>
                <w:rFonts w:eastAsia="Calibri" w:cs="Times New Roman"/>
              </w:rPr>
            </w:pPr>
          </w:p>
          <w:p w:rsidR="00957C6F" w:rsidRPr="006E666E" w:rsidRDefault="00957C6F" w:rsidP="0097339F">
            <w:pPr>
              <w:jc w:val="center"/>
              <w:rPr>
                <w:rFonts w:eastAsia="Calibri" w:cs="Times New Roman"/>
              </w:rPr>
            </w:pPr>
            <w:r w:rsidRPr="006E666E">
              <w:rPr>
                <w:rFonts w:eastAsia="Calibri" w:cs="Times New Roman"/>
              </w:rPr>
              <w:t>Ellenőrzések száma</w:t>
            </w:r>
          </w:p>
        </w:tc>
        <w:tc>
          <w:tcPr>
            <w:tcW w:w="2956" w:type="dxa"/>
            <w:gridSpan w:val="2"/>
            <w:tcBorders>
              <w:top w:val="single" w:sz="12" w:space="0" w:color="auto"/>
            </w:tcBorders>
            <w:shd w:val="clear" w:color="auto" w:fill="FFFF99"/>
          </w:tcPr>
          <w:p w:rsidR="00957C6F" w:rsidRPr="006E666E" w:rsidRDefault="00957C6F" w:rsidP="0097339F">
            <w:pPr>
              <w:jc w:val="center"/>
              <w:rPr>
                <w:rFonts w:eastAsia="Calibri" w:cs="Times New Roman"/>
              </w:rPr>
            </w:pPr>
            <w:r w:rsidRPr="006E666E">
              <w:rPr>
                <w:rFonts w:eastAsia="Calibri" w:cs="Times New Roman"/>
              </w:rPr>
              <w:t>Ellenőrzött</w:t>
            </w:r>
          </w:p>
        </w:tc>
        <w:tc>
          <w:tcPr>
            <w:tcW w:w="4808" w:type="dxa"/>
            <w:gridSpan w:val="3"/>
            <w:tcBorders>
              <w:top w:val="single" w:sz="12" w:space="0" w:color="auto"/>
            </w:tcBorders>
            <w:shd w:val="clear" w:color="auto" w:fill="FFFF99"/>
          </w:tcPr>
          <w:p w:rsidR="00957C6F" w:rsidRPr="006E666E" w:rsidRDefault="00957C6F" w:rsidP="0097339F">
            <w:pPr>
              <w:rPr>
                <w:rFonts w:eastAsia="Calibri" w:cs="Times New Roman"/>
              </w:rPr>
            </w:pPr>
            <w:r w:rsidRPr="006E666E">
              <w:rPr>
                <w:rFonts w:eastAsia="Calibri" w:cs="Times New Roman"/>
              </w:rPr>
              <w:t>Élelmiszerbiztonsági szempontból</w:t>
            </w:r>
          </w:p>
        </w:tc>
      </w:tr>
      <w:tr w:rsidR="00957C6F" w:rsidRPr="006E666E" w:rsidTr="0097339F">
        <w:tc>
          <w:tcPr>
            <w:tcW w:w="1524" w:type="dxa"/>
            <w:vMerge/>
            <w:tcBorders>
              <w:bottom w:val="single" w:sz="12" w:space="0" w:color="auto"/>
            </w:tcBorders>
            <w:shd w:val="clear" w:color="auto" w:fill="FFFF99"/>
          </w:tcPr>
          <w:p w:rsidR="00957C6F" w:rsidRPr="006E666E" w:rsidRDefault="00957C6F" w:rsidP="0097339F">
            <w:pPr>
              <w:rPr>
                <w:rFonts w:eastAsia="Calibri" w:cs="Times New Roman"/>
              </w:rPr>
            </w:pPr>
          </w:p>
        </w:tc>
        <w:tc>
          <w:tcPr>
            <w:tcW w:w="1454" w:type="dxa"/>
            <w:tcBorders>
              <w:bottom w:val="single" w:sz="12" w:space="0" w:color="auto"/>
            </w:tcBorders>
            <w:shd w:val="clear" w:color="auto" w:fill="FFFF99"/>
          </w:tcPr>
          <w:p w:rsidR="00957C6F" w:rsidRPr="006E666E" w:rsidRDefault="00957C6F" w:rsidP="0097339F">
            <w:pPr>
              <w:jc w:val="center"/>
              <w:rPr>
                <w:rFonts w:eastAsia="Calibri" w:cs="Times New Roman"/>
              </w:rPr>
            </w:pPr>
            <w:r w:rsidRPr="006E666E">
              <w:rPr>
                <w:rFonts w:eastAsia="Calibri" w:cs="Times New Roman"/>
              </w:rPr>
              <w:t>táborok száma</w:t>
            </w:r>
          </w:p>
        </w:tc>
        <w:tc>
          <w:tcPr>
            <w:tcW w:w="1502" w:type="dxa"/>
            <w:tcBorders>
              <w:bottom w:val="single" w:sz="12" w:space="0" w:color="auto"/>
            </w:tcBorders>
            <w:shd w:val="clear" w:color="auto" w:fill="FFFF99"/>
          </w:tcPr>
          <w:p w:rsidR="00957C6F" w:rsidRPr="006E666E" w:rsidRDefault="00957C6F" w:rsidP="0097339F">
            <w:pPr>
              <w:jc w:val="center"/>
              <w:rPr>
                <w:rFonts w:eastAsia="Calibri" w:cs="Times New Roman"/>
              </w:rPr>
            </w:pPr>
            <w:r w:rsidRPr="006E666E">
              <w:rPr>
                <w:rFonts w:eastAsia="Calibri" w:cs="Times New Roman"/>
              </w:rPr>
              <w:t>táborokban ellátottak száma</w:t>
            </w:r>
          </w:p>
        </w:tc>
        <w:tc>
          <w:tcPr>
            <w:tcW w:w="1576" w:type="dxa"/>
            <w:tcBorders>
              <w:bottom w:val="single" w:sz="12" w:space="0" w:color="auto"/>
            </w:tcBorders>
            <w:shd w:val="clear" w:color="auto" w:fill="FFFF99"/>
          </w:tcPr>
          <w:p w:rsidR="00957C6F" w:rsidRPr="006E666E" w:rsidRDefault="00957C6F" w:rsidP="0097339F">
            <w:pPr>
              <w:rPr>
                <w:rFonts w:eastAsia="Calibri" w:cs="Times New Roman"/>
              </w:rPr>
            </w:pPr>
            <w:r w:rsidRPr="006E666E">
              <w:rPr>
                <w:rFonts w:eastAsia="Calibri" w:cs="Times New Roman"/>
              </w:rPr>
              <w:t>Megfelelően, biztonságosan üzemelő táborok száma</w:t>
            </w:r>
          </w:p>
        </w:tc>
        <w:tc>
          <w:tcPr>
            <w:tcW w:w="1576" w:type="dxa"/>
            <w:tcBorders>
              <w:bottom w:val="single" w:sz="12" w:space="0" w:color="auto"/>
            </w:tcBorders>
            <w:shd w:val="clear" w:color="auto" w:fill="FFFF99"/>
          </w:tcPr>
          <w:p w:rsidR="00957C6F" w:rsidRPr="006E666E" w:rsidRDefault="00957C6F" w:rsidP="0097339F">
            <w:pPr>
              <w:rPr>
                <w:rFonts w:eastAsia="Calibri" w:cs="Times New Roman"/>
              </w:rPr>
            </w:pPr>
            <w:r w:rsidRPr="006E666E">
              <w:rPr>
                <w:rFonts w:eastAsia="Calibri" w:cs="Times New Roman"/>
              </w:rPr>
              <w:t>Feltárt hibákkal, de biztonságosan üzemelő táborok száma</w:t>
            </w:r>
          </w:p>
        </w:tc>
        <w:tc>
          <w:tcPr>
            <w:tcW w:w="1656" w:type="dxa"/>
            <w:tcBorders>
              <w:bottom w:val="single" w:sz="12" w:space="0" w:color="auto"/>
            </w:tcBorders>
            <w:shd w:val="clear" w:color="auto" w:fill="FFFF99"/>
          </w:tcPr>
          <w:p w:rsidR="00957C6F" w:rsidRPr="006E666E" w:rsidRDefault="00957C6F" w:rsidP="0097339F">
            <w:pPr>
              <w:rPr>
                <w:rFonts w:eastAsia="Calibri" w:cs="Times New Roman"/>
              </w:rPr>
            </w:pPr>
            <w:r w:rsidRPr="006E666E">
              <w:rPr>
                <w:rFonts w:eastAsia="Calibri" w:cs="Times New Roman"/>
              </w:rPr>
              <w:t>Hatósági intézkedéssel, beavatkozással biztonságossá tett táborok száma</w:t>
            </w:r>
          </w:p>
        </w:tc>
      </w:tr>
      <w:tr w:rsidR="00957C6F" w:rsidRPr="006E666E" w:rsidTr="0097339F">
        <w:tc>
          <w:tcPr>
            <w:tcW w:w="1524" w:type="dxa"/>
            <w:tcBorders>
              <w:top w:val="single" w:sz="12" w:space="0" w:color="auto"/>
              <w:bottom w:val="single" w:sz="12" w:space="0" w:color="auto"/>
            </w:tcBorders>
          </w:tcPr>
          <w:p w:rsidR="00957C6F" w:rsidRPr="006E666E" w:rsidRDefault="00957C6F" w:rsidP="0097339F">
            <w:pPr>
              <w:jc w:val="center"/>
              <w:rPr>
                <w:rFonts w:eastAsia="Calibri" w:cs="Times New Roman"/>
              </w:rPr>
            </w:pPr>
          </w:p>
          <w:p w:rsidR="00957C6F" w:rsidRPr="006E666E" w:rsidRDefault="00957C6F" w:rsidP="0097339F">
            <w:pPr>
              <w:jc w:val="center"/>
              <w:rPr>
                <w:rFonts w:eastAsia="Calibri" w:cs="Times New Roman"/>
              </w:rPr>
            </w:pPr>
            <w:r>
              <w:rPr>
                <w:rFonts w:eastAsia="Calibri" w:cs="Times New Roman"/>
              </w:rPr>
              <w:t>289</w:t>
            </w:r>
          </w:p>
        </w:tc>
        <w:tc>
          <w:tcPr>
            <w:tcW w:w="1454" w:type="dxa"/>
            <w:tcBorders>
              <w:top w:val="single" w:sz="12" w:space="0" w:color="auto"/>
              <w:bottom w:val="single" w:sz="12" w:space="0" w:color="auto"/>
            </w:tcBorders>
          </w:tcPr>
          <w:p w:rsidR="00957C6F" w:rsidRPr="006E666E" w:rsidRDefault="00957C6F" w:rsidP="0097339F">
            <w:pPr>
              <w:jc w:val="center"/>
              <w:rPr>
                <w:rFonts w:eastAsia="Calibri" w:cs="Times New Roman"/>
              </w:rPr>
            </w:pPr>
          </w:p>
          <w:p w:rsidR="00957C6F" w:rsidRPr="006E666E" w:rsidRDefault="00957C6F" w:rsidP="0097339F">
            <w:pPr>
              <w:jc w:val="center"/>
              <w:rPr>
                <w:rFonts w:eastAsia="Calibri" w:cs="Times New Roman"/>
              </w:rPr>
            </w:pPr>
            <w:r>
              <w:rPr>
                <w:rFonts w:eastAsia="Calibri" w:cs="Times New Roman"/>
              </w:rPr>
              <w:t>282</w:t>
            </w:r>
          </w:p>
        </w:tc>
        <w:tc>
          <w:tcPr>
            <w:tcW w:w="1502" w:type="dxa"/>
            <w:tcBorders>
              <w:top w:val="single" w:sz="12" w:space="0" w:color="auto"/>
              <w:bottom w:val="single" w:sz="12" w:space="0" w:color="auto"/>
            </w:tcBorders>
          </w:tcPr>
          <w:p w:rsidR="00957C6F" w:rsidRPr="006E666E" w:rsidRDefault="00957C6F" w:rsidP="0097339F">
            <w:pPr>
              <w:jc w:val="center"/>
              <w:rPr>
                <w:rFonts w:eastAsia="Calibri" w:cs="Times New Roman"/>
              </w:rPr>
            </w:pPr>
          </w:p>
          <w:p w:rsidR="00957C6F" w:rsidRPr="006E666E" w:rsidRDefault="00957C6F" w:rsidP="0097339F">
            <w:pPr>
              <w:jc w:val="center"/>
              <w:rPr>
                <w:rFonts w:eastAsia="Calibri" w:cs="Times New Roman"/>
              </w:rPr>
            </w:pPr>
            <w:r>
              <w:rPr>
                <w:rFonts w:eastAsia="Calibri" w:cs="Times New Roman"/>
              </w:rPr>
              <w:t>23797</w:t>
            </w:r>
          </w:p>
        </w:tc>
        <w:tc>
          <w:tcPr>
            <w:tcW w:w="1576" w:type="dxa"/>
            <w:tcBorders>
              <w:top w:val="single" w:sz="12" w:space="0" w:color="auto"/>
              <w:bottom w:val="single" w:sz="12" w:space="0" w:color="auto"/>
            </w:tcBorders>
          </w:tcPr>
          <w:p w:rsidR="00957C6F" w:rsidRPr="006E666E" w:rsidRDefault="00957C6F" w:rsidP="0097339F">
            <w:pPr>
              <w:jc w:val="center"/>
              <w:rPr>
                <w:rFonts w:eastAsia="Calibri" w:cs="Times New Roman"/>
              </w:rPr>
            </w:pPr>
          </w:p>
          <w:p w:rsidR="00957C6F" w:rsidRPr="006E666E" w:rsidRDefault="00957C6F" w:rsidP="0097339F">
            <w:pPr>
              <w:jc w:val="center"/>
              <w:rPr>
                <w:rFonts w:eastAsia="Calibri" w:cs="Times New Roman"/>
              </w:rPr>
            </w:pPr>
            <w:r>
              <w:rPr>
                <w:rFonts w:eastAsia="Calibri" w:cs="Times New Roman"/>
              </w:rPr>
              <w:t>236</w:t>
            </w:r>
          </w:p>
          <w:p w:rsidR="00957C6F" w:rsidRPr="006E666E" w:rsidRDefault="00957C6F" w:rsidP="0097339F">
            <w:pPr>
              <w:jc w:val="center"/>
              <w:rPr>
                <w:rFonts w:eastAsia="Calibri" w:cs="Times New Roman"/>
              </w:rPr>
            </w:pPr>
            <w:r w:rsidRPr="006E666E">
              <w:rPr>
                <w:rFonts w:eastAsia="Calibri" w:cs="Times New Roman"/>
              </w:rPr>
              <w:t>(</w:t>
            </w:r>
            <w:r>
              <w:rPr>
                <w:rFonts w:eastAsia="Calibri" w:cs="Times New Roman"/>
              </w:rPr>
              <w:t>83,7</w:t>
            </w:r>
            <w:r w:rsidRPr="006E666E">
              <w:rPr>
                <w:rFonts w:eastAsia="Calibri" w:cs="Times New Roman"/>
              </w:rPr>
              <w:t xml:space="preserve"> %)</w:t>
            </w:r>
          </w:p>
          <w:p w:rsidR="00957C6F" w:rsidRPr="006E666E" w:rsidRDefault="00957C6F" w:rsidP="0097339F">
            <w:pPr>
              <w:jc w:val="center"/>
              <w:rPr>
                <w:rFonts w:eastAsia="Calibri" w:cs="Times New Roman"/>
              </w:rPr>
            </w:pPr>
          </w:p>
        </w:tc>
        <w:tc>
          <w:tcPr>
            <w:tcW w:w="1576" w:type="dxa"/>
            <w:tcBorders>
              <w:top w:val="single" w:sz="12" w:space="0" w:color="auto"/>
              <w:bottom w:val="single" w:sz="12" w:space="0" w:color="auto"/>
            </w:tcBorders>
          </w:tcPr>
          <w:p w:rsidR="00957C6F" w:rsidRPr="006E666E" w:rsidRDefault="00957C6F" w:rsidP="0097339F">
            <w:pPr>
              <w:jc w:val="center"/>
              <w:rPr>
                <w:rFonts w:eastAsia="Calibri" w:cs="Times New Roman"/>
              </w:rPr>
            </w:pPr>
          </w:p>
          <w:p w:rsidR="00957C6F" w:rsidRPr="006E666E" w:rsidRDefault="00957C6F" w:rsidP="0097339F">
            <w:pPr>
              <w:jc w:val="center"/>
              <w:rPr>
                <w:rFonts w:eastAsia="Calibri" w:cs="Times New Roman"/>
              </w:rPr>
            </w:pPr>
            <w:r>
              <w:rPr>
                <w:rFonts w:eastAsia="Calibri" w:cs="Times New Roman"/>
              </w:rPr>
              <w:t>38</w:t>
            </w:r>
          </w:p>
          <w:p w:rsidR="00957C6F" w:rsidRPr="006E666E" w:rsidRDefault="00957C6F" w:rsidP="0097339F">
            <w:pPr>
              <w:jc w:val="center"/>
              <w:rPr>
                <w:rFonts w:eastAsia="Calibri" w:cs="Times New Roman"/>
              </w:rPr>
            </w:pPr>
            <w:r w:rsidRPr="006E666E">
              <w:rPr>
                <w:rFonts w:eastAsia="Calibri" w:cs="Times New Roman"/>
              </w:rPr>
              <w:t>(</w:t>
            </w:r>
            <w:r>
              <w:rPr>
                <w:rFonts w:eastAsia="Calibri" w:cs="Times New Roman"/>
              </w:rPr>
              <w:t>13,5</w:t>
            </w:r>
            <w:r w:rsidRPr="006E666E">
              <w:rPr>
                <w:rFonts w:eastAsia="Calibri" w:cs="Times New Roman"/>
              </w:rPr>
              <w:t>%)</w:t>
            </w:r>
          </w:p>
        </w:tc>
        <w:tc>
          <w:tcPr>
            <w:tcW w:w="1656" w:type="dxa"/>
            <w:tcBorders>
              <w:top w:val="single" w:sz="12" w:space="0" w:color="auto"/>
              <w:bottom w:val="single" w:sz="12" w:space="0" w:color="auto"/>
            </w:tcBorders>
          </w:tcPr>
          <w:p w:rsidR="00957C6F" w:rsidRPr="006E666E" w:rsidRDefault="00957C6F" w:rsidP="0097339F">
            <w:pPr>
              <w:jc w:val="center"/>
              <w:rPr>
                <w:rFonts w:eastAsia="Calibri" w:cs="Times New Roman"/>
              </w:rPr>
            </w:pPr>
          </w:p>
          <w:p w:rsidR="00957C6F" w:rsidRPr="006E666E" w:rsidRDefault="00957C6F" w:rsidP="0097339F">
            <w:pPr>
              <w:jc w:val="center"/>
              <w:rPr>
                <w:rFonts w:eastAsia="Calibri" w:cs="Times New Roman"/>
              </w:rPr>
            </w:pPr>
            <w:r>
              <w:rPr>
                <w:rFonts w:eastAsia="Calibri" w:cs="Times New Roman"/>
              </w:rPr>
              <w:t>8</w:t>
            </w:r>
          </w:p>
          <w:p w:rsidR="00957C6F" w:rsidRPr="006E666E" w:rsidRDefault="00957C6F" w:rsidP="0097339F">
            <w:pPr>
              <w:jc w:val="center"/>
              <w:rPr>
                <w:rFonts w:eastAsia="Calibri" w:cs="Times New Roman"/>
              </w:rPr>
            </w:pPr>
            <w:r w:rsidRPr="006E666E">
              <w:rPr>
                <w:rFonts w:eastAsia="Calibri" w:cs="Times New Roman"/>
              </w:rPr>
              <w:t>(</w:t>
            </w:r>
            <w:r>
              <w:rPr>
                <w:rFonts w:eastAsia="Calibri" w:cs="Times New Roman"/>
              </w:rPr>
              <w:t>2,8</w:t>
            </w:r>
            <w:r w:rsidRPr="006E666E">
              <w:rPr>
                <w:rFonts w:eastAsia="Calibri" w:cs="Times New Roman"/>
              </w:rPr>
              <w:t xml:space="preserve"> %)</w:t>
            </w:r>
          </w:p>
          <w:p w:rsidR="00957C6F" w:rsidRPr="006E666E" w:rsidRDefault="00957C6F" w:rsidP="0097339F">
            <w:pPr>
              <w:jc w:val="center"/>
              <w:rPr>
                <w:rFonts w:eastAsia="Calibri" w:cs="Times New Roman"/>
              </w:rPr>
            </w:pPr>
          </w:p>
        </w:tc>
      </w:tr>
    </w:tbl>
    <w:p w:rsidR="00957C6F" w:rsidRDefault="00957C6F" w:rsidP="00957C6F">
      <w:pPr>
        <w:rPr>
          <w:rFonts w:eastAsia="Calibri" w:cs="Times New Roman"/>
        </w:rPr>
      </w:pPr>
    </w:p>
    <w:p w:rsidR="00957C6F" w:rsidRDefault="00957C6F" w:rsidP="00957C6F">
      <w:pPr>
        <w:rPr>
          <w:rFonts w:eastAsia="Calibri" w:cs="Times New Roman"/>
        </w:rPr>
      </w:pPr>
      <w:r>
        <w:rPr>
          <w:rFonts w:eastAsia="Calibri" w:cs="Times New Roman"/>
        </w:rPr>
        <w:t>A táborok étkeztetésének ellenőrzésén feltárt leggyakoribb hibák: a HACCP rendszer működtetését igazoló dokumentumok hiánya vagy hiányos vezetése (6 %), a kellő műszaki feltételek hiánya (5 %), és a személyi higiénés szabályok, egészségügyi alkalmasság nem megfelelősége (4,6 %) volt.</w:t>
      </w:r>
    </w:p>
    <w:p w:rsidR="00957C6F" w:rsidRDefault="00957C6F" w:rsidP="00957C6F">
      <w:pPr>
        <w:rPr>
          <w:rFonts w:eastAsia="Calibri" w:cs="Times New Roman"/>
          <w:b/>
          <w:u w:val="single"/>
        </w:rPr>
      </w:pPr>
    </w:p>
    <w:p w:rsidR="005C0D3B" w:rsidRDefault="005C0D3B" w:rsidP="00957C6F">
      <w:pPr>
        <w:rPr>
          <w:rFonts w:eastAsia="Calibri" w:cs="Times New Roman"/>
          <w:b/>
          <w:u w:val="single"/>
        </w:rPr>
      </w:pPr>
    </w:p>
    <w:p w:rsidR="00957C6F" w:rsidRPr="00046B11" w:rsidRDefault="00957C6F" w:rsidP="00957C6F">
      <w:pPr>
        <w:rPr>
          <w:rFonts w:eastAsia="Calibri" w:cs="Times New Roman"/>
          <w:b/>
          <w:u w:val="single"/>
        </w:rPr>
      </w:pPr>
      <w:r>
        <w:rPr>
          <w:rFonts w:eastAsia="Calibri" w:cs="Times New Roman"/>
          <w:b/>
          <w:u w:val="single"/>
        </w:rPr>
        <w:t xml:space="preserve">2. </w:t>
      </w:r>
      <w:r w:rsidRPr="00D73FF8">
        <w:rPr>
          <w:rFonts w:eastAsia="Calibri" w:cs="Times New Roman"/>
          <w:b/>
          <w:u w:val="single"/>
        </w:rPr>
        <w:t>Rendezvények</w:t>
      </w:r>
    </w:p>
    <w:p w:rsidR="00957C6F" w:rsidRDefault="00957C6F" w:rsidP="00957C6F">
      <w:pPr>
        <w:rPr>
          <w:rFonts w:eastAsia="Calibri" w:cs="Times New Roman"/>
        </w:rPr>
      </w:pPr>
    </w:p>
    <w:p w:rsidR="00957C6F" w:rsidRDefault="00957C6F" w:rsidP="00957C6F">
      <w:pPr>
        <w:rPr>
          <w:rFonts w:eastAsia="Calibri" w:cs="Times New Roman"/>
        </w:rPr>
      </w:pPr>
      <w:r>
        <w:rPr>
          <w:rFonts w:eastAsia="Calibri" w:cs="Times New Roman"/>
        </w:rPr>
        <w:t>Az akcióellenőrzés időszakában országszerte voltak rendezvények, ezek közül 118 nagy tömegeket megmozgató rendezvényen zajlottak élelmiszerbiztonsági ellenőrzések, (például a teljesség igénye nélkül az alábbi helyszíneken: Ónodi vásár, Velencei EFOTT fesztivál, Soproni Volt fesztivál, Hortobágyi lovas napok, Egri Bikavér napok, Visegrádi Palotajátékok, Kecskeméti Csiperó fesztivál, Balaton Sound, augusztus 20-i kitelepülések, ünnepségek). Ez összesen 624 rendezvényre kitelepült vállalkozó ellenőrzését jelentette, 637 ellenőrzéssel.</w:t>
      </w:r>
    </w:p>
    <w:p w:rsidR="00957C6F" w:rsidRDefault="00957C6F" w:rsidP="00957C6F">
      <w:pPr>
        <w:rPr>
          <w:rFonts w:eastAsia="Calibri" w:cs="Times New Roman"/>
        </w:rPr>
      </w:pPr>
    </w:p>
    <w:p w:rsidR="005C0D3B" w:rsidRDefault="005C0D3B" w:rsidP="00957C6F">
      <w:pPr>
        <w:rPr>
          <w:rFonts w:eastAsia="Calibri" w:cs="Times New Roman"/>
        </w:rPr>
      </w:pPr>
    </w:p>
    <w:p w:rsidR="005C0D3B" w:rsidRDefault="005C0D3B" w:rsidP="00957C6F">
      <w:pPr>
        <w:rPr>
          <w:rFonts w:eastAsia="Calibri" w:cs="Times New Roman"/>
        </w:rPr>
      </w:pPr>
    </w:p>
    <w:p w:rsidR="00957C6F" w:rsidRPr="006305F8" w:rsidRDefault="00957C6F" w:rsidP="00957C6F">
      <w:pPr>
        <w:numPr>
          <w:ilvl w:val="0"/>
          <w:numId w:val="1"/>
        </w:numPr>
        <w:jc w:val="left"/>
        <w:rPr>
          <w:rFonts w:eastAsia="Calibri" w:cs="Times New Roman"/>
          <w:i/>
        </w:rPr>
      </w:pPr>
      <w:r w:rsidRPr="006305F8">
        <w:rPr>
          <w:rFonts w:eastAsia="Calibri" w:cs="Times New Roman"/>
          <w:i/>
        </w:rPr>
        <w:lastRenderedPageBreak/>
        <w:t>sz. ábra</w:t>
      </w:r>
    </w:p>
    <w:p w:rsidR="005C0D3B" w:rsidRDefault="005C0D3B" w:rsidP="00957C6F">
      <w:pPr>
        <w:jc w:val="center"/>
        <w:rPr>
          <w:rFonts w:eastAsia="Calibri" w:cs="Times New Roman"/>
          <w:b/>
        </w:rPr>
      </w:pPr>
    </w:p>
    <w:p w:rsidR="00957C6F" w:rsidRDefault="00957C6F" w:rsidP="00957C6F">
      <w:pPr>
        <w:jc w:val="center"/>
        <w:rPr>
          <w:rFonts w:eastAsia="Calibri" w:cs="Times New Roman"/>
          <w:b/>
        </w:rPr>
      </w:pPr>
      <w:r>
        <w:rPr>
          <w:rFonts w:eastAsia="Calibri" w:cs="Times New Roman"/>
          <w:b/>
        </w:rPr>
        <w:t>Rendezvények</w:t>
      </w:r>
      <w:r w:rsidRPr="00A06DA1">
        <w:rPr>
          <w:rFonts w:eastAsia="Calibri" w:cs="Times New Roman"/>
          <w:b/>
        </w:rPr>
        <w:t xml:space="preserve"> élelmiszer</w:t>
      </w:r>
      <w:r>
        <w:rPr>
          <w:rFonts w:eastAsia="Calibri" w:cs="Times New Roman"/>
          <w:b/>
        </w:rPr>
        <w:t>-</w:t>
      </w:r>
      <w:r w:rsidRPr="00A06DA1">
        <w:rPr>
          <w:rFonts w:eastAsia="Calibri" w:cs="Times New Roman"/>
          <w:b/>
        </w:rPr>
        <w:t xml:space="preserve">biztonsági ellenőrzése </w:t>
      </w:r>
      <w:r>
        <w:rPr>
          <w:rFonts w:eastAsia="Calibri" w:cs="Times New Roman"/>
          <w:b/>
        </w:rPr>
        <w:t>07. 01. - 08. 31</w:t>
      </w:r>
      <w:r w:rsidRPr="00A06DA1">
        <w:rPr>
          <w:rFonts w:eastAsia="Calibri" w:cs="Times New Roman"/>
          <w:b/>
        </w:rPr>
        <w:t>.</w:t>
      </w:r>
    </w:p>
    <w:p w:rsidR="00957C6F" w:rsidRDefault="00957C6F" w:rsidP="00957C6F">
      <w:pPr>
        <w:jc w:val="center"/>
        <w:rPr>
          <w:rFonts w:eastAsia="Calibri" w:cs="Times New Roman"/>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495"/>
        <w:gridCol w:w="1549"/>
        <w:gridCol w:w="1436"/>
        <w:gridCol w:w="1576"/>
        <w:gridCol w:w="1576"/>
        <w:gridCol w:w="1656"/>
      </w:tblGrid>
      <w:tr w:rsidR="00957C6F" w:rsidRPr="006E666E" w:rsidTr="0097339F">
        <w:tc>
          <w:tcPr>
            <w:tcW w:w="1524" w:type="dxa"/>
            <w:vMerge w:val="restart"/>
            <w:tcBorders>
              <w:top w:val="single" w:sz="12" w:space="0" w:color="auto"/>
            </w:tcBorders>
            <w:shd w:val="clear" w:color="auto" w:fill="FFFF99"/>
          </w:tcPr>
          <w:p w:rsidR="00957C6F" w:rsidRPr="006E666E" w:rsidRDefault="00957C6F" w:rsidP="0097339F">
            <w:pPr>
              <w:rPr>
                <w:rFonts w:eastAsia="Calibri" w:cs="Times New Roman"/>
              </w:rPr>
            </w:pPr>
          </w:p>
          <w:p w:rsidR="00957C6F" w:rsidRPr="006E666E" w:rsidRDefault="00957C6F" w:rsidP="0097339F">
            <w:pPr>
              <w:rPr>
                <w:rFonts w:eastAsia="Calibri" w:cs="Times New Roman"/>
              </w:rPr>
            </w:pPr>
          </w:p>
          <w:p w:rsidR="00957C6F" w:rsidRPr="006E666E" w:rsidRDefault="00957C6F" w:rsidP="0097339F">
            <w:pPr>
              <w:rPr>
                <w:rFonts w:eastAsia="Calibri" w:cs="Times New Roman"/>
              </w:rPr>
            </w:pPr>
            <w:r w:rsidRPr="006E666E">
              <w:rPr>
                <w:rFonts w:eastAsia="Calibri" w:cs="Times New Roman"/>
              </w:rPr>
              <w:t>Ellenőrzések száma</w:t>
            </w:r>
          </w:p>
        </w:tc>
        <w:tc>
          <w:tcPr>
            <w:tcW w:w="2956" w:type="dxa"/>
            <w:gridSpan w:val="2"/>
            <w:tcBorders>
              <w:top w:val="single" w:sz="12" w:space="0" w:color="auto"/>
            </w:tcBorders>
            <w:shd w:val="clear" w:color="auto" w:fill="FFFF99"/>
          </w:tcPr>
          <w:p w:rsidR="00957C6F" w:rsidRPr="006E666E" w:rsidRDefault="00957C6F" w:rsidP="0097339F">
            <w:pPr>
              <w:jc w:val="center"/>
              <w:rPr>
                <w:rFonts w:eastAsia="Calibri" w:cs="Times New Roman"/>
              </w:rPr>
            </w:pPr>
            <w:r w:rsidRPr="006E666E">
              <w:rPr>
                <w:rFonts w:eastAsia="Calibri" w:cs="Times New Roman"/>
              </w:rPr>
              <w:t>Ellenőrzött</w:t>
            </w:r>
          </w:p>
        </w:tc>
        <w:tc>
          <w:tcPr>
            <w:tcW w:w="4808" w:type="dxa"/>
            <w:gridSpan w:val="3"/>
            <w:tcBorders>
              <w:top w:val="single" w:sz="12" w:space="0" w:color="auto"/>
            </w:tcBorders>
            <w:shd w:val="clear" w:color="auto" w:fill="FFFF99"/>
          </w:tcPr>
          <w:p w:rsidR="00957C6F" w:rsidRPr="006E666E" w:rsidRDefault="00957C6F" w:rsidP="0097339F">
            <w:pPr>
              <w:jc w:val="center"/>
              <w:rPr>
                <w:rFonts w:eastAsia="Calibri" w:cs="Times New Roman"/>
              </w:rPr>
            </w:pPr>
            <w:r w:rsidRPr="006E666E">
              <w:rPr>
                <w:rFonts w:eastAsia="Calibri" w:cs="Times New Roman"/>
              </w:rPr>
              <w:t>Élelmiszerbiztonsági szempontból</w:t>
            </w:r>
          </w:p>
        </w:tc>
      </w:tr>
      <w:tr w:rsidR="00957C6F" w:rsidRPr="006E666E" w:rsidTr="0097339F">
        <w:tc>
          <w:tcPr>
            <w:tcW w:w="1524" w:type="dxa"/>
            <w:vMerge/>
            <w:tcBorders>
              <w:bottom w:val="single" w:sz="12" w:space="0" w:color="auto"/>
            </w:tcBorders>
            <w:shd w:val="clear" w:color="auto" w:fill="FFFF99"/>
          </w:tcPr>
          <w:p w:rsidR="00957C6F" w:rsidRPr="006E666E" w:rsidRDefault="00957C6F" w:rsidP="0097339F">
            <w:pPr>
              <w:rPr>
                <w:rFonts w:eastAsia="Calibri" w:cs="Times New Roman"/>
              </w:rPr>
            </w:pPr>
          </w:p>
        </w:tc>
        <w:tc>
          <w:tcPr>
            <w:tcW w:w="1454" w:type="dxa"/>
            <w:tcBorders>
              <w:bottom w:val="single" w:sz="12" w:space="0" w:color="auto"/>
            </w:tcBorders>
            <w:shd w:val="clear" w:color="auto" w:fill="FFFF99"/>
          </w:tcPr>
          <w:p w:rsidR="00957C6F" w:rsidRPr="006E666E" w:rsidRDefault="00957C6F" w:rsidP="0097339F">
            <w:pPr>
              <w:rPr>
                <w:rFonts w:eastAsia="Calibri" w:cs="Times New Roman"/>
              </w:rPr>
            </w:pPr>
            <w:r w:rsidRPr="006E666E">
              <w:rPr>
                <w:rFonts w:eastAsia="Calibri" w:cs="Times New Roman"/>
              </w:rPr>
              <w:t>rendezvények</w:t>
            </w:r>
          </w:p>
          <w:p w:rsidR="00957C6F" w:rsidRPr="006E666E" w:rsidRDefault="00957C6F" w:rsidP="0097339F">
            <w:pPr>
              <w:rPr>
                <w:rFonts w:eastAsia="Calibri" w:cs="Times New Roman"/>
              </w:rPr>
            </w:pPr>
            <w:r w:rsidRPr="006E666E">
              <w:rPr>
                <w:rFonts w:eastAsia="Calibri" w:cs="Times New Roman"/>
              </w:rPr>
              <w:t>száma</w:t>
            </w:r>
          </w:p>
        </w:tc>
        <w:tc>
          <w:tcPr>
            <w:tcW w:w="1502" w:type="dxa"/>
            <w:tcBorders>
              <w:bottom w:val="single" w:sz="12" w:space="0" w:color="auto"/>
            </w:tcBorders>
            <w:shd w:val="clear" w:color="auto" w:fill="FFFF99"/>
          </w:tcPr>
          <w:p w:rsidR="00957C6F" w:rsidRPr="006E666E" w:rsidRDefault="00957C6F" w:rsidP="0097339F">
            <w:pPr>
              <w:rPr>
                <w:rFonts w:eastAsia="Calibri" w:cs="Times New Roman"/>
              </w:rPr>
            </w:pPr>
            <w:r w:rsidRPr="006E666E">
              <w:rPr>
                <w:rFonts w:eastAsia="Calibri" w:cs="Times New Roman"/>
              </w:rPr>
              <w:t>kitelepültek száma</w:t>
            </w:r>
          </w:p>
        </w:tc>
        <w:tc>
          <w:tcPr>
            <w:tcW w:w="1576" w:type="dxa"/>
            <w:tcBorders>
              <w:bottom w:val="single" w:sz="12" w:space="0" w:color="auto"/>
            </w:tcBorders>
            <w:shd w:val="clear" w:color="auto" w:fill="FFFF99"/>
          </w:tcPr>
          <w:p w:rsidR="00957C6F" w:rsidRPr="006E666E" w:rsidRDefault="00957C6F" w:rsidP="0097339F">
            <w:pPr>
              <w:rPr>
                <w:rFonts w:eastAsia="Calibri" w:cs="Times New Roman"/>
              </w:rPr>
            </w:pPr>
            <w:r w:rsidRPr="006E666E">
              <w:rPr>
                <w:rFonts w:eastAsia="Calibri" w:cs="Times New Roman"/>
              </w:rPr>
              <w:t>Megfelelően, biztonságosan üzemelő kitelepültek</w:t>
            </w:r>
          </w:p>
          <w:p w:rsidR="00957C6F" w:rsidRPr="006E666E" w:rsidRDefault="00957C6F" w:rsidP="0097339F">
            <w:pPr>
              <w:rPr>
                <w:rFonts w:eastAsia="Calibri" w:cs="Times New Roman"/>
              </w:rPr>
            </w:pPr>
            <w:r w:rsidRPr="006E666E">
              <w:rPr>
                <w:rFonts w:eastAsia="Calibri" w:cs="Times New Roman"/>
              </w:rPr>
              <w:t>száma</w:t>
            </w:r>
          </w:p>
        </w:tc>
        <w:tc>
          <w:tcPr>
            <w:tcW w:w="1576" w:type="dxa"/>
            <w:tcBorders>
              <w:bottom w:val="single" w:sz="12" w:space="0" w:color="auto"/>
            </w:tcBorders>
            <w:shd w:val="clear" w:color="auto" w:fill="FFFF99"/>
          </w:tcPr>
          <w:p w:rsidR="00957C6F" w:rsidRPr="006E666E" w:rsidRDefault="00957C6F" w:rsidP="0097339F">
            <w:pPr>
              <w:rPr>
                <w:rFonts w:eastAsia="Calibri" w:cs="Times New Roman"/>
              </w:rPr>
            </w:pPr>
            <w:r w:rsidRPr="006E666E">
              <w:rPr>
                <w:rFonts w:eastAsia="Calibri" w:cs="Times New Roman"/>
              </w:rPr>
              <w:t>Feltárt hibákkal, de biztonságosan üzemelő kitelepültek</w:t>
            </w:r>
          </w:p>
          <w:p w:rsidR="00957C6F" w:rsidRPr="006E666E" w:rsidRDefault="00957C6F" w:rsidP="0097339F">
            <w:pPr>
              <w:rPr>
                <w:rFonts w:eastAsia="Calibri" w:cs="Times New Roman"/>
              </w:rPr>
            </w:pPr>
            <w:r w:rsidRPr="006E666E">
              <w:rPr>
                <w:rFonts w:eastAsia="Calibri" w:cs="Times New Roman"/>
              </w:rPr>
              <w:t>száma</w:t>
            </w:r>
          </w:p>
        </w:tc>
        <w:tc>
          <w:tcPr>
            <w:tcW w:w="1656" w:type="dxa"/>
            <w:tcBorders>
              <w:bottom w:val="single" w:sz="12" w:space="0" w:color="auto"/>
            </w:tcBorders>
            <w:shd w:val="clear" w:color="auto" w:fill="FFFF99"/>
          </w:tcPr>
          <w:p w:rsidR="00957C6F" w:rsidRPr="006E666E" w:rsidRDefault="00957C6F" w:rsidP="0097339F">
            <w:pPr>
              <w:rPr>
                <w:rFonts w:eastAsia="Calibri" w:cs="Times New Roman"/>
              </w:rPr>
            </w:pPr>
            <w:r w:rsidRPr="006E666E">
              <w:rPr>
                <w:rFonts w:eastAsia="Calibri" w:cs="Times New Roman"/>
              </w:rPr>
              <w:t>Hatósági intézkedéssel, beavatkozással biztonságossá tett kitelepültek</w:t>
            </w:r>
          </w:p>
          <w:p w:rsidR="00957C6F" w:rsidRPr="006E666E" w:rsidRDefault="00957C6F" w:rsidP="0097339F">
            <w:pPr>
              <w:rPr>
                <w:rFonts w:eastAsia="Calibri" w:cs="Times New Roman"/>
              </w:rPr>
            </w:pPr>
            <w:r w:rsidRPr="006E666E">
              <w:rPr>
                <w:rFonts w:eastAsia="Calibri" w:cs="Times New Roman"/>
              </w:rPr>
              <w:t>száma</w:t>
            </w:r>
          </w:p>
        </w:tc>
      </w:tr>
      <w:tr w:rsidR="00957C6F" w:rsidRPr="006E666E" w:rsidTr="0097339F">
        <w:tc>
          <w:tcPr>
            <w:tcW w:w="1524" w:type="dxa"/>
            <w:tcBorders>
              <w:top w:val="single" w:sz="12" w:space="0" w:color="auto"/>
              <w:bottom w:val="single" w:sz="12" w:space="0" w:color="auto"/>
            </w:tcBorders>
          </w:tcPr>
          <w:p w:rsidR="00957C6F" w:rsidRPr="00AC0501" w:rsidRDefault="00957C6F" w:rsidP="0097339F">
            <w:pPr>
              <w:jc w:val="center"/>
              <w:rPr>
                <w:rFonts w:eastAsia="Calibri" w:cs="Times New Roman"/>
                <w:b/>
              </w:rPr>
            </w:pPr>
          </w:p>
          <w:p w:rsidR="00957C6F" w:rsidRPr="00AC0501" w:rsidRDefault="00957C6F" w:rsidP="0097339F">
            <w:pPr>
              <w:jc w:val="center"/>
              <w:rPr>
                <w:rFonts w:eastAsia="Calibri" w:cs="Times New Roman"/>
                <w:b/>
              </w:rPr>
            </w:pPr>
            <w:r w:rsidRPr="00AC0501">
              <w:rPr>
                <w:rFonts w:eastAsia="Calibri" w:cs="Times New Roman"/>
                <w:b/>
              </w:rPr>
              <w:t>637</w:t>
            </w:r>
          </w:p>
        </w:tc>
        <w:tc>
          <w:tcPr>
            <w:tcW w:w="1454" w:type="dxa"/>
            <w:tcBorders>
              <w:top w:val="single" w:sz="12" w:space="0" w:color="auto"/>
              <w:bottom w:val="single" w:sz="12" w:space="0" w:color="auto"/>
            </w:tcBorders>
          </w:tcPr>
          <w:p w:rsidR="00957C6F" w:rsidRPr="00AC0501" w:rsidRDefault="00957C6F" w:rsidP="0097339F">
            <w:pPr>
              <w:jc w:val="center"/>
              <w:rPr>
                <w:rFonts w:eastAsia="Calibri" w:cs="Times New Roman"/>
                <w:b/>
              </w:rPr>
            </w:pPr>
          </w:p>
          <w:p w:rsidR="00957C6F" w:rsidRPr="00AC0501" w:rsidRDefault="00957C6F" w:rsidP="0097339F">
            <w:pPr>
              <w:jc w:val="center"/>
              <w:rPr>
                <w:rFonts w:eastAsia="Calibri" w:cs="Times New Roman"/>
                <w:b/>
              </w:rPr>
            </w:pPr>
            <w:r w:rsidRPr="00AC0501">
              <w:rPr>
                <w:rFonts w:eastAsia="Calibri" w:cs="Times New Roman"/>
                <w:b/>
              </w:rPr>
              <w:t>118</w:t>
            </w:r>
          </w:p>
        </w:tc>
        <w:tc>
          <w:tcPr>
            <w:tcW w:w="1502" w:type="dxa"/>
            <w:tcBorders>
              <w:top w:val="single" w:sz="12" w:space="0" w:color="auto"/>
              <w:bottom w:val="single" w:sz="12" w:space="0" w:color="auto"/>
            </w:tcBorders>
          </w:tcPr>
          <w:p w:rsidR="00957C6F" w:rsidRPr="00AC0501" w:rsidRDefault="00957C6F" w:rsidP="0097339F">
            <w:pPr>
              <w:jc w:val="center"/>
              <w:rPr>
                <w:rFonts w:eastAsia="Calibri" w:cs="Times New Roman"/>
                <w:b/>
              </w:rPr>
            </w:pPr>
          </w:p>
          <w:p w:rsidR="00957C6F" w:rsidRPr="00AC0501" w:rsidRDefault="00957C6F" w:rsidP="0097339F">
            <w:pPr>
              <w:jc w:val="center"/>
              <w:rPr>
                <w:rFonts w:eastAsia="Calibri" w:cs="Times New Roman"/>
                <w:b/>
              </w:rPr>
            </w:pPr>
            <w:r w:rsidRPr="00AC0501">
              <w:rPr>
                <w:rFonts w:eastAsia="Calibri" w:cs="Times New Roman"/>
                <w:b/>
              </w:rPr>
              <w:t>624</w:t>
            </w:r>
          </w:p>
        </w:tc>
        <w:tc>
          <w:tcPr>
            <w:tcW w:w="1576" w:type="dxa"/>
            <w:tcBorders>
              <w:top w:val="single" w:sz="12" w:space="0" w:color="auto"/>
              <w:bottom w:val="single" w:sz="12" w:space="0" w:color="auto"/>
            </w:tcBorders>
          </w:tcPr>
          <w:p w:rsidR="00957C6F" w:rsidRPr="00AC0501" w:rsidRDefault="00957C6F" w:rsidP="0097339F">
            <w:pPr>
              <w:jc w:val="center"/>
              <w:rPr>
                <w:rFonts w:eastAsia="Calibri" w:cs="Times New Roman"/>
                <w:b/>
              </w:rPr>
            </w:pPr>
          </w:p>
          <w:p w:rsidR="00957C6F" w:rsidRPr="00AC0501" w:rsidRDefault="00957C6F" w:rsidP="0097339F">
            <w:pPr>
              <w:jc w:val="center"/>
              <w:rPr>
                <w:rFonts w:eastAsia="Calibri" w:cs="Times New Roman"/>
                <w:b/>
              </w:rPr>
            </w:pPr>
            <w:r w:rsidRPr="00AC0501">
              <w:rPr>
                <w:rFonts w:eastAsia="Calibri" w:cs="Times New Roman"/>
                <w:b/>
              </w:rPr>
              <w:t>503</w:t>
            </w:r>
          </w:p>
          <w:p w:rsidR="00957C6F" w:rsidRPr="00AC0501" w:rsidRDefault="00957C6F" w:rsidP="0097339F">
            <w:pPr>
              <w:jc w:val="center"/>
              <w:rPr>
                <w:rFonts w:eastAsia="Calibri" w:cs="Times New Roman"/>
                <w:b/>
              </w:rPr>
            </w:pPr>
            <w:r w:rsidRPr="00AC0501">
              <w:rPr>
                <w:rFonts w:eastAsia="Calibri" w:cs="Times New Roman"/>
                <w:b/>
              </w:rPr>
              <w:t xml:space="preserve"> (80,6%)</w:t>
            </w:r>
          </w:p>
          <w:p w:rsidR="00957C6F" w:rsidRPr="00AC0501" w:rsidRDefault="00957C6F" w:rsidP="0097339F">
            <w:pPr>
              <w:jc w:val="center"/>
              <w:rPr>
                <w:rFonts w:eastAsia="Calibri" w:cs="Times New Roman"/>
                <w:b/>
              </w:rPr>
            </w:pPr>
          </w:p>
        </w:tc>
        <w:tc>
          <w:tcPr>
            <w:tcW w:w="1576" w:type="dxa"/>
            <w:tcBorders>
              <w:top w:val="single" w:sz="12" w:space="0" w:color="auto"/>
              <w:bottom w:val="single" w:sz="12" w:space="0" w:color="auto"/>
            </w:tcBorders>
          </w:tcPr>
          <w:p w:rsidR="00957C6F" w:rsidRPr="00AC0501" w:rsidRDefault="00957C6F" w:rsidP="0097339F">
            <w:pPr>
              <w:jc w:val="center"/>
              <w:rPr>
                <w:rFonts w:eastAsia="Calibri" w:cs="Times New Roman"/>
                <w:b/>
              </w:rPr>
            </w:pPr>
          </w:p>
          <w:p w:rsidR="00957C6F" w:rsidRPr="00AC0501" w:rsidRDefault="00957C6F" w:rsidP="0097339F">
            <w:pPr>
              <w:jc w:val="center"/>
              <w:rPr>
                <w:rFonts w:eastAsia="Calibri" w:cs="Times New Roman"/>
                <w:b/>
              </w:rPr>
            </w:pPr>
            <w:r w:rsidRPr="00AC0501">
              <w:rPr>
                <w:rFonts w:eastAsia="Calibri" w:cs="Times New Roman"/>
                <w:b/>
              </w:rPr>
              <w:t>78</w:t>
            </w:r>
          </w:p>
          <w:p w:rsidR="00957C6F" w:rsidRPr="00AC0501" w:rsidRDefault="00957C6F" w:rsidP="0097339F">
            <w:pPr>
              <w:jc w:val="center"/>
              <w:rPr>
                <w:rFonts w:eastAsia="Calibri" w:cs="Times New Roman"/>
                <w:b/>
              </w:rPr>
            </w:pPr>
            <w:r w:rsidRPr="00AC0501">
              <w:rPr>
                <w:rFonts w:eastAsia="Calibri" w:cs="Times New Roman"/>
                <w:b/>
              </w:rPr>
              <w:t>(12,5 %)</w:t>
            </w:r>
          </w:p>
        </w:tc>
        <w:tc>
          <w:tcPr>
            <w:tcW w:w="1656" w:type="dxa"/>
            <w:tcBorders>
              <w:top w:val="single" w:sz="12" w:space="0" w:color="auto"/>
              <w:bottom w:val="single" w:sz="12" w:space="0" w:color="auto"/>
            </w:tcBorders>
          </w:tcPr>
          <w:p w:rsidR="00957C6F" w:rsidRPr="00AC0501" w:rsidRDefault="00957C6F" w:rsidP="0097339F">
            <w:pPr>
              <w:jc w:val="center"/>
              <w:rPr>
                <w:rFonts w:eastAsia="Calibri" w:cs="Times New Roman"/>
                <w:b/>
              </w:rPr>
            </w:pPr>
          </w:p>
          <w:p w:rsidR="00957C6F" w:rsidRPr="00AC0501" w:rsidRDefault="00957C6F" w:rsidP="0097339F">
            <w:pPr>
              <w:jc w:val="center"/>
              <w:rPr>
                <w:rFonts w:eastAsia="Calibri" w:cs="Times New Roman"/>
                <w:b/>
              </w:rPr>
            </w:pPr>
            <w:r w:rsidRPr="00AC0501">
              <w:rPr>
                <w:rFonts w:eastAsia="Calibri" w:cs="Times New Roman"/>
                <w:b/>
              </w:rPr>
              <w:t>43</w:t>
            </w:r>
          </w:p>
          <w:p w:rsidR="00957C6F" w:rsidRPr="00AC0501" w:rsidRDefault="00957C6F" w:rsidP="0097339F">
            <w:pPr>
              <w:jc w:val="center"/>
              <w:rPr>
                <w:rFonts w:eastAsia="Calibri" w:cs="Times New Roman"/>
                <w:b/>
              </w:rPr>
            </w:pPr>
            <w:r w:rsidRPr="00AC0501">
              <w:rPr>
                <w:rFonts w:eastAsia="Calibri" w:cs="Times New Roman"/>
                <w:b/>
              </w:rPr>
              <w:t xml:space="preserve"> (6,9 %)</w:t>
            </w:r>
          </w:p>
          <w:p w:rsidR="00957C6F" w:rsidRPr="00AC0501" w:rsidRDefault="00957C6F" w:rsidP="0097339F">
            <w:pPr>
              <w:jc w:val="center"/>
              <w:rPr>
                <w:rFonts w:eastAsia="Calibri" w:cs="Times New Roman"/>
                <w:b/>
              </w:rPr>
            </w:pPr>
          </w:p>
        </w:tc>
      </w:tr>
    </w:tbl>
    <w:p w:rsidR="00957C6F" w:rsidRDefault="00957C6F" w:rsidP="00957C6F">
      <w:pPr>
        <w:rPr>
          <w:rFonts w:eastAsia="Calibri" w:cs="Times New Roman"/>
        </w:rPr>
      </w:pPr>
    </w:p>
    <w:p w:rsidR="00957C6F" w:rsidRPr="005E2A83" w:rsidRDefault="00957C6F" w:rsidP="00957C6F">
      <w:pPr>
        <w:rPr>
          <w:rFonts w:eastAsia="Calibri" w:cs="Times New Roman"/>
        </w:rPr>
      </w:pPr>
      <w:r w:rsidRPr="005E2A83">
        <w:rPr>
          <w:rFonts w:eastAsia="Calibri" w:cs="Times New Roman"/>
        </w:rPr>
        <w:t>A rendezvényeken ellenőrzött vendéglátó helyeken feltárt leggyakoribb hibák: az ellenőrzött élelmiszerek</w:t>
      </w:r>
      <w:r>
        <w:rPr>
          <w:rFonts w:eastAsia="Calibri" w:cs="Times New Roman"/>
        </w:rPr>
        <w:t xml:space="preserve">- </w:t>
      </w:r>
      <w:r w:rsidRPr="005E2A83">
        <w:rPr>
          <w:rFonts w:eastAsia="Calibri" w:cs="Times New Roman"/>
        </w:rPr>
        <w:t xml:space="preserve"> </w:t>
      </w:r>
      <w:r>
        <w:rPr>
          <w:rFonts w:eastAsia="Calibri" w:cs="Times New Roman"/>
        </w:rPr>
        <w:t xml:space="preserve">(4,3%) és </w:t>
      </w:r>
      <w:r w:rsidRPr="005E2A83">
        <w:rPr>
          <w:rFonts w:eastAsia="Calibri" w:cs="Times New Roman"/>
        </w:rPr>
        <w:t>a személyi higiénés szabályok, egészségügyi alkalmass</w:t>
      </w:r>
      <w:r>
        <w:rPr>
          <w:rFonts w:eastAsia="Calibri" w:cs="Times New Roman"/>
        </w:rPr>
        <w:t xml:space="preserve">ág nem megfelelősége (3,8 %), </w:t>
      </w:r>
      <w:r w:rsidRPr="005E2A83">
        <w:rPr>
          <w:rFonts w:eastAsia="Calibri" w:cs="Times New Roman"/>
        </w:rPr>
        <w:t>a nyomonkövetést, származást igazoló dokum</w:t>
      </w:r>
      <w:r>
        <w:rPr>
          <w:rFonts w:eastAsia="Calibri" w:cs="Times New Roman"/>
        </w:rPr>
        <w:t xml:space="preserve">entumok nem megfelelősége, vagy </w:t>
      </w:r>
      <w:r w:rsidRPr="005E2A83">
        <w:rPr>
          <w:rFonts w:eastAsia="Calibri" w:cs="Times New Roman"/>
        </w:rPr>
        <w:t>hiánya (3,2 %) volt.</w:t>
      </w:r>
    </w:p>
    <w:p w:rsidR="00957C6F" w:rsidRDefault="00957C6F" w:rsidP="00957C6F">
      <w:pPr>
        <w:rPr>
          <w:rFonts w:eastAsia="Calibri" w:cs="Times New Roman"/>
        </w:rPr>
      </w:pPr>
    </w:p>
    <w:p w:rsidR="00957C6F" w:rsidRPr="006305F8" w:rsidRDefault="00957C6F" w:rsidP="00957C6F">
      <w:pPr>
        <w:numPr>
          <w:ilvl w:val="0"/>
          <w:numId w:val="1"/>
        </w:numPr>
        <w:jc w:val="left"/>
        <w:rPr>
          <w:rFonts w:eastAsia="Calibri" w:cs="Times New Roman"/>
          <w:i/>
        </w:rPr>
      </w:pPr>
      <w:r w:rsidRPr="006305F8">
        <w:rPr>
          <w:rFonts w:eastAsia="Calibri" w:cs="Times New Roman"/>
          <w:i/>
        </w:rPr>
        <w:t>sz. ábra</w:t>
      </w:r>
    </w:p>
    <w:p w:rsidR="005C0D3B" w:rsidRDefault="005C0D3B" w:rsidP="00957C6F">
      <w:pPr>
        <w:jc w:val="center"/>
        <w:rPr>
          <w:rFonts w:eastAsia="Calibri" w:cs="Times New Roman"/>
          <w:b/>
          <w:szCs w:val="24"/>
        </w:rPr>
      </w:pPr>
    </w:p>
    <w:p w:rsidR="00957C6F" w:rsidRPr="00AC0501" w:rsidRDefault="00957C6F" w:rsidP="00957C6F">
      <w:pPr>
        <w:jc w:val="center"/>
        <w:rPr>
          <w:rFonts w:eastAsia="Calibri" w:cs="Times New Roman"/>
          <w:b/>
          <w:szCs w:val="24"/>
        </w:rPr>
      </w:pPr>
      <w:r w:rsidRPr="00AC0501">
        <w:rPr>
          <w:rFonts w:eastAsia="Calibri" w:cs="Times New Roman"/>
          <w:b/>
          <w:szCs w:val="24"/>
        </w:rPr>
        <w:t>Az akcióidőszakban rendezvényeken lévő kitelepülések ellenőrzése során forgalomból kivont élelmiszerek</w:t>
      </w:r>
    </w:p>
    <w:p w:rsidR="00957C6F" w:rsidRPr="00AC0501" w:rsidRDefault="00957C6F" w:rsidP="00957C6F">
      <w:pPr>
        <w:jc w:val="center"/>
        <w:rPr>
          <w:rFonts w:eastAsia="Calibri" w:cs="Times New Roman"/>
          <w:b/>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1"/>
        <w:gridCol w:w="1548"/>
        <w:gridCol w:w="1922"/>
        <w:gridCol w:w="1521"/>
      </w:tblGrid>
      <w:tr w:rsidR="00957C6F" w:rsidRPr="00AC0501" w:rsidTr="0097339F">
        <w:trPr>
          <w:jc w:val="center"/>
        </w:trPr>
        <w:tc>
          <w:tcPr>
            <w:tcW w:w="6722" w:type="dxa"/>
            <w:gridSpan w:val="4"/>
          </w:tcPr>
          <w:p w:rsidR="00957C6F" w:rsidRPr="00AC0501" w:rsidRDefault="00957C6F" w:rsidP="0097339F">
            <w:pPr>
              <w:jc w:val="center"/>
              <w:rPr>
                <w:rFonts w:eastAsia="Calibri" w:cs="Times New Roman"/>
                <w:b/>
                <w:szCs w:val="24"/>
              </w:rPr>
            </w:pPr>
            <w:r w:rsidRPr="00AC0501">
              <w:rPr>
                <w:rFonts w:eastAsia="Calibri" w:cs="Times New Roman"/>
                <w:b/>
                <w:szCs w:val="24"/>
              </w:rPr>
              <w:t>Forgalomból kivont tételek</w:t>
            </w:r>
          </w:p>
        </w:tc>
      </w:tr>
      <w:tr w:rsidR="00957C6F" w:rsidRPr="00AC0501" w:rsidTr="0097339F">
        <w:trPr>
          <w:jc w:val="center"/>
        </w:trPr>
        <w:tc>
          <w:tcPr>
            <w:tcW w:w="1731" w:type="dxa"/>
          </w:tcPr>
          <w:p w:rsidR="00957C6F" w:rsidRPr="00AC0501" w:rsidRDefault="00957C6F" w:rsidP="0097339F">
            <w:pPr>
              <w:jc w:val="center"/>
              <w:rPr>
                <w:rFonts w:eastAsia="Calibri" w:cs="Times New Roman"/>
                <w:b/>
                <w:szCs w:val="24"/>
              </w:rPr>
            </w:pPr>
          </w:p>
        </w:tc>
        <w:tc>
          <w:tcPr>
            <w:tcW w:w="1548" w:type="dxa"/>
          </w:tcPr>
          <w:p w:rsidR="00957C6F" w:rsidRPr="00AC0501" w:rsidRDefault="00957C6F" w:rsidP="0097339F">
            <w:pPr>
              <w:jc w:val="center"/>
              <w:rPr>
                <w:rFonts w:eastAsia="Calibri" w:cs="Times New Roman"/>
                <w:b/>
                <w:szCs w:val="24"/>
              </w:rPr>
            </w:pPr>
            <w:r w:rsidRPr="00AC0501">
              <w:rPr>
                <w:rFonts w:eastAsia="Calibri" w:cs="Times New Roman"/>
                <w:b/>
                <w:szCs w:val="24"/>
              </w:rPr>
              <w:t>Száma</w:t>
            </w:r>
          </w:p>
        </w:tc>
        <w:tc>
          <w:tcPr>
            <w:tcW w:w="1922" w:type="dxa"/>
          </w:tcPr>
          <w:p w:rsidR="00957C6F" w:rsidRPr="00AC0501" w:rsidRDefault="00957C6F" w:rsidP="0097339F">
            <w:pPr>
              <w:jc w:val="center"/>
              <w:rPr>
                <w:rFonts w:eastAsia="Calibri" w:cs="Times New Roman"/>
                <w:b/>
                <w:szCs w:val="24"/>
              </w:rPr>
            </w:pPr>
            <w:r w:rsidRPr="00AC0501">
              <w:rPr>
                <w:rFonts w:eastAsia="Calibri" w:cs="Times New Roman"/>
                <w:b/>
                <w:szCs w:val="24"/>
              </w:rPr>
              <w:t>Mennyisége (kg)</w:t>
            </w:r>
          </w:p>
        </w:tc>
        <w:tc>
          <w:tcPr>
            <w:tcW w:w="1521" w:type="dxa"/>
          </w:tcPr>
          <w:p w:rsidR="00957C6F" w:rsidRPr="00AC0501" w:rsidRDefault="00957C6F" w:rsidP="0097339F">
            <w:pPr>
              <w:jc w:val="center"/>
              <w:rPr>
                <w:rFonts w:eastAsia="Calibri" w:cs="Times New Roman"/>
                <w:b/>
                <w:szCs w:val="24"/>
              </w:rPr>
            </w:pPr>
            <w:r w:rsidRPr="00AC0501">
              <w:rPr>
                <w:rFonts w:eastAsia="Calibri" w:cs="Times New Roman"/>
                <w:b/>
                <w:szCs w:val="24"/>
              </w:rPr>
              <w:t>Értéke (Ft)</w:t>
            </w:r>
          </w:p>
        </w:tc>
      </w:tr>
      <w:tr w:rsidR="00957C6F" w:rsidRPr="00AC0501" w:rsidTr="0097339F">
        <w:trPr>
          <w:trHeight w:val="471"/>
          <w:jc w:val="center"/>
        </w:trPr>
        <w:tc>
          <w:tcPr>
            <w:tcW w:w="1731" w:type="dxa"/>
            <w:vAlign w:val="center"/>
          </w:tcPr>
          <w:p w:rsidR="00957C6F" w:rsidRPr="00AC0501" w:rsidRDefault="00957C6F" w:rsidP="0097339F">
            <w:pPr>
              <w:jc w:val="center"/>
              <w:rPr>
                <w:rFonts w:eastAsia="Calibri" w:cs="Times New Roman"/>
                <w:b/>
                <w:szCs w:val="24"/>
              </w:rPr>
            </w:pPr>
            <w:r>
              <w:rPr>
                <w:rFonts w:eastAsia="Calibri" w:cs="Times New Roman"/>
                <w:b/>
                <w:szCs w:val="24"/>
              </w:rPr>
              <w:t>2012</w:t>
            </w:r>
          </w:p>
        </w:tc>
        <w:tc>
          <w:tcPr>
            <w:tcW w:w="1548" w:type="dxa"/>
            <w:vAlign w:val="center"/>
          </w:tcPr>
          <w:p w:rsidR="00957C6F" w:rsidRPr="00AC0501" w:rsidRDefault="00957C6F" w:rsidP="0097339F">
            <w:pPr>
              <w:jc w:val="center"/>
              <w:rPr>
                <w:rFonts w:eastAsia="Calibri" w:cs="Times New Roman"/>
                <w:b/>
                <w:szCs w:val="24"/>
              </w:rPr>
            </w:pPr>
            <w:r>
              <w:rPr>
                <w:rFonts w:eastAsia="Calibri" w:cs="Times New Roman"/>
                <w:b/>
                <w:szCs w:val="24"/>
              </w:rPr>
              <w:t>18</w:t>
            </w:r>
          </w:p>
        </w:tc>
        <w:tc>
          <w:tcPr>
            <w:tcW w:w="1922" w:type="dxa"/>
            <w:vAlign w:val="center"/>
          </w:tcPr>
          <w:p w:rsidR="00957C6F" w:rsidRPr="00AC0501" w:rsidRDefault="00957C6F" w:rsidP="0097339F">
            <w:pPr>
              <w:jc w:val="center"/>
              <w:rPr>
                <w:rFonts w:eastAsia="Calibri" w:cs="Times New Roman"/>
                <w:b/>
                <w:szCs w:val="24"/>
              </w:rPr>
            </w:pPr>
            <w:r>
              <w:rPr>
                <w:rFonts w:eastAsia="Calibri" w:cs="Times New Roman"/>
                <w:b/>
                <w:szCs w:val="24"/>
              </w:rPr>
              <w:t>76</w:t>
            </w:r>
          </w:p>
        </w:tc>
        <w:tc>
          <w:tcPr>
            <w:tcW w:w="1521" w:type="dxa"/>
            <w:vAlign w:val="center"/>
          </w:tcPr>
          <w:p w:rsidR="00957C6F" w:rsidRPr="00AC0501" w:rsidRDefault="00957C6F" w:rsidP="0097339F">
            <w:pPr>
              <w:jc w:val="center"/>
              <w:rPr>
                <w:rFonts w:eastAsia="Calibri" w:cs="Times New Roman"/>
                <w:b/>
                <w:szCs w:val="24"/>
              </w:rPr>
            </w:pPr>
            <w:r>
              <w:rPr>
                <w:rFonts w:eastAsia="Calibri" w:cs="Times New Roman"/>
                <w:b/>
                <w:szCs w:val="24"/>
              </w:rPr>
              <w:t>57.740</w:t>
            </w:r>
          </w:p>
        </w:tc>
      </w:tr>
    </w:tbl>
    <w:p w:rsidR="00957C6F" w:rsidRDefault="00957C6F" w:rsidP="00957C6F">
      <w:pPr>
        <w:jc w:val="center"/>
        <w:rPr>
          <w:rFonts w:eastAsia="Calibri" w:cs="Times New Roman"/>
        </w:rPr>
      </w:pPr>
    </w:p>
    <w:p w:rsidR="00957C6F" w:rsidRDefault="00957C6F" w:rsidP="00957C6F">
      <w:pPr>
        <w:rPr>
          <w:rFonts w:eastAsia="Calibri" w:cs="Times New Roman"/>
        </w:rPr>
      </w:pPr>
      <w:r>
        <w:rPr>
          <w:rFonts w:eastAsia="Calibri" w:cs="Times New Roman"/>
        </w:rPr>
        <w:t xml:space="preserve">Rendezvény ellenőrzéseket követően kiemelésre érdemes hatósági intézkedésekre nem került sor, 14 alkalommal, összesen </w:t>
      </w:r>
      <w:smartTag w:uri="urn:schemas-microsoft-com:office:smarttags" w:element="metricconverter">
        <w:smartTagPr>
          <w:attr w:name="ProductID" w:val="645.000 Ft"/>
        </w:smartTagPr>
        <w:r>
          <w:rPr>
            <w:rFonts w:eastAsia="Calibri" w:cs="Times New Roman"/>
          </w:rPr>
          <w:t>645.000 Ft</w:t>
        </w:r>
      </w:smartTag>
      <w:r>
        <w:rPr>
          <w:rFonts w:eastAsia="Calibri" w:cs="Times New Roman"/>
        </w:rPr>
        <w:t xml:space="preserve"> értékben volt bírságkiszabás, és </w:t>
      </w:r>
      <w:smartTag w:uri="urn:schemas-microsoft-com:office:smarttags" w:element="metricconverter">
        <w:smartTagPr>
          <w:attr w:name="ProductID" w:val="57.740 Ft"/>
        </w:smartTagPr>
        <w:r>
          <w:rPr>
            <w:rFonts w:eastAsia="Calibri" w:cs="Times New Roman"/>
          </w:rPr>
          <w:t>57.740 Ft</w:t>
        </w:r>
      </w:smartTag>
      <w:r>
        <w:rPr>
          <w:rFonts w:eastAsia="Calibri" w:cs="Times New Roman"/>
        </w:rPr>
        <w:t xml:space="preserve"> összértékben kellett élelmiszerek forgalomból kivonásáról rendelkezni.</w:t>
      </w:r>
    </w:p>
    <w:p w:rsidR="00957C6F" w:rsidRDefault="00957C6F" w:rsidP="00957C6F">
      <w:pPr>
        <w:rPr>
          <w:rFonts w:eastAsia="Calibri" w:cs="Times New Roman"/>
        </w:rPr>
      </w:pPr>
    </w:p>
    <w:p w:rsidR="00957C6F" w:rsidRDefault="00957C6F" w:rsidP="00957C6F">
      <w:pPr>
        <w:rPr>
          <w:rFonts w:eastAsia="Calibri" w:cs="Times New Roman"/>
        </w:rPr>
      </w:pPr>
    </w:p>
    <w:p w:rsidR="00957C6F" w:rsidRPr="00D350C3" w:rsidRDefault="00957C6F" w:rsidP="00957C6F">
      <w:pPr>
        <w:rPr>
          <w:rFonts w:eastAsia="Calibri" w:cs="Times New Roman"/>
          <w:b/>
          <w:u w:val="single"/>
        </w:rPr>
      </w:pPr>
      <w:r>
        <w:rPr>
          <w:rFonts w:eastAsia="Calibri" w:cs="Times New Roman"/>
          <w:b/>
          <w:u w:val="single"/>
        </w:rPr>
        <w:t xml:space="preserve">3. </w:t>
      </w:r>
      <w:r w:rsidRPr="00D350C3">
        <w:rPr>
          <w:rFonts w:eastAsia="Calibri" w:cs="Times New Roman"/>
          <w:b/>
          <w:u w:val="single"/>
        </w:rPr>
        <w:t xml:space="preserve">Vendéglátó, étkeztető létesítmények </w:t>
      </w:r>
    </w:p>
    <w:p w:rsidR="00957C6F" w:rsidRDefault="00957C6F" w:rsidP="00957C6F">
      <w:pPr>
        <w:rPr>
          <w:rFonts w:eastAsia="Calibri" w:cs="Times New Roman"/>
        </w:rPr>
      </w:pPr>
    </w:p>
    <w:p w:rsidR="00957C6F" w:rsidRDefault="00957C6F" w:rsidP="00957C6F">
      <w:pPr>
        <w:rPr>
          <w:rFonts w:eastAsia="Calibri" w:cs="Times New Roman"/>
        </w:rPr>
      </w:pPr>
      <w:r>
        <w:rPr>
          <w:rFonts w:eastAsia="Calibri" w:cs="Times New Roman"/>
        </w:rPr>
        <w:t xml:space="preserve">Megnyugtató, hogy az akció ideje alatt ellenőrzött vendéglátó létesítmények 81,5 %-a megfelelően üzemelt. 583 helyen (14,5%) kisebb, az ellenőrzésen, vagy azt követően rövid időn belül rendezhető hiba került feltárásra. 161 vendéglátó üzletben (az ellenőrzöttek 4,%-a) vált szükségessé hatósági rendelkezés, az élelmiszerbiztonság helyreállítása érdekében.  </w:t>
      </w:r>
    </w:p>
    <w:p w:rsidR="00957C6F" w:rsidRDefault="00957C6F" w:rsidP="00957C6F">
      <w:pPr>
        <w:rPr>
          <w:rFonts w:eastAsia="Calibri" w:cs="Times New Roman"/>
        </w:rPr>
      </w:pPr>
    </w:p>
    <w:p w:rsidR="00957C6F" w:rsidRDefault="00957C6F" w:rsidP="00957C6F">
      <w:pPr>
        <w:rPr>
          <w:rFonts w:eastAsia="Calibri" w:cs="Times New Roman"/>
        </w:rPr>
      </w:pPr>
    </w:p>
    <w:p w:rsidR="00957C6F" w:rsidRDefault="00957C6F" w:rsidP="00957C6F">
      <w:pPr>
        <w:rPr>
          <w:rFonts w:eastAsia="Calibri" w:cs="Times New Roman"/>
        </w:rPr>
      </w:pPr>
    </w:p>
    <w:p w:rsidR="005C0D3B" w:rsidRDefault="005C0D3B" w:rsidP="00957C6F">
      <w:pPr>
        <w:rPr>
          <w:rFonts w:eastAsia="Calibri" w:cs="Times New Roman"/>
        </w:rPr>
      </w:pPr>
    </w:p>
    <w:p w:rsidR="005C0D3B" w:rsidRDefault="005C0D3B" w:rsidP="00957C6F">
      <w:pPr>
        <w:rPr>
          <w:rFonts w:eastAsia="Calibri" w:cs="Times New Roman"/>
        </w:rPr>
      </w:pPr>
    </w:p>
    <w:p w:rsidR="005C0D3B" w:rsidRDefault="005C0D3B" w:rsidP="00957C6F">
      <w:pPr>
        <w:rPr>
          <w:rFonts w:eastAsia="Calibri" w:cs="Times New Roman"/>
        </w:rPr>
      </w:pPr>
    </w:p>
    <w:p w:rsidR="00957C6F" w:rsidRDefault="00957C6F" w:rsidP="00957C6F">
      <w:pPr>
        <w:rPr>
          <w:rFonts w:eastAsia="Calibri" w:cs="Times New Roman"/>
        </w:rPr>
      </w:pPr>
    </w:p>
    <w:p w:rsidR="00957C6F" w:rsidRPr="006305F8" w:rsidRDefault="00957C6F" w:rsidP="00957C6F">
      <w:pPr>
        <w:numPr>
          <w:ilvl w:val="0"/>
          <w:numId w:val="1"/>
        </w:numPr>
        <w:jc w:val="left"/>
        <w:rPr>
          <w:rFonts w:eastAsia="Calibri" w:cs="Times New Roman"/>
          <w:i/>
        </w:rPr>
      </w:pPr>
      <w:r w:rsidRPr="006305F8">
        <w:rPr>
          <w:rFonts w:eastAsia="Calibri" w:cs="Times New Roman"/>
          <w:i/>
        </w:rPr>
        <w:lastRenderedPageBreak/>
        <w:t>sz. ábra</w:t>
      </w:r>
    </w:p>
    <w:p w:rsidR="005C0D3B" w:rsidRDefault="005C0D3B" w:rsidP="00957C6F">
      <w:pPr>
        <w:jc w:val="center"/>
        <w:rPr>
          <w:rFonts w:eastAsia="Calibri" w:cs="Times New Roman"/>
          <w:b/>
        </w:rPr>
      </w:pPr>
    </w:p>
    <w:p w:rsidR="00957C6F" w:rsidRDefault="00957C6F" w:rsidP="00957C6F">
      <w:pPr>
        <w:jc w:val="center"/>
        <w:rPr>
          <w:rFonts w:eastAsia="Calibri" w:cs="Times New Roman"/>
          <w:b/>
        </w:rPr>
      </w:pPr>
      <w:r w:rsidRPr="00025C39">
        <w:rPr>
          <w:rFonts w:eastAsia="Calibri" w:cs="Times New Roman"/>
          <w:b/>
        </w:rPr>
        <w:t>A megvizsgált vendéglátók üzlettípus és megfelelőség szerint megoszlása</w:t>
      </w:r>
    </w:p>
    <w:p w:rsidR="00957C6F" w:rsidRDefault="00957C6F" w:rsidP="00957C6F">
      <w:pPr>
        <w:jc w:val="center"/>
        <w:rPr>
          <w:rFonts w:eastAsia="Calibri" w:cs="Times New Roman"/>
          <w:b/>
        </w:rPr>
      </w:pPr>
      <w:r>
        <w:rPr>
          <w:rFonts w:eastAsia="Calibri" w:cs="Times New Roman"/>
          <w:b/>
        </w:rPr>
        <w:t>07. 01. - 08. 31</w:t>
      </w:r>
      <w:r w:rsidRPr="00A06DA1">
        <w:rPr>
          <w:rFonts w:eastAsia="Calibri" w:cs="Times New Roman"/>
          <w:b/>
        </w:rPr>
        <w:t>.</w:t>
      </w:r>
    </w:p>
    <w:p w:rsidR="00957C6F" w:rsidRDefault="00957C6F" w:rsidP="00957C6F">
      <w:pPr>
        <w:jc w:val="center"/>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3"/>
        <w:gridCol w:w="1456"/>
        <w:gridCol w:w="1314"/>
        <w:gridCol w:w="1638"/>
        <w:gridCol w:w="1638"/>
        <w:gridCol w:w="1699"/>
      </w:tblGrid>
      <w:tr w:rsidR="00957C6F" w:rsidRPr="006E666E" w:rsidTr="0097339F">
        <w:tc>
          <w:tcPr>
            <w:tcW w:w="1846" w:type="dxa"/>
            <w:tcBorders>
              <w:top w:val="single" w:sz="12" w:space="0" w:color="auto"/>
              <w:left w:val="single" w:sz="12" w:space="0" w:color="auto"/>
              <w:bottom w:val="single" w:sz="12" w:space="0" w:color="auto"/>
              <w:right w:val="single" w:sz="12" w:space="0" w:color="auto"/>
            </w:tcBorders>
            <w:shd w:val="clear" w:color="auto" w:fill="FFFF99"/>
            <w:vAlign w:val="center"/>
          </w:tcPr>
          <w:p w:rsidR="00957C6F" w:rsidRPr="006E666E" w:rsidRDefault="00957C6F" w:rsidP="0097339F">
            <w:pPr>
              <w:jc w:val="center"/>
              <w:rPr>
                <w:rFonts w:eastAsia="Calibri" w:cs="Times New Roman"/>
              </w:rPr>
            </w:pPr>
          </w:p>
          <w:p w:rsidR="00957C6F" w:rsidRPr="006E666E" w:rsidRDefault="00957C6F" w:rsidP="0097339F">
            <w:pPr>
              <w:jc w:val="center"/>
              <w:rPr>
                <w:rFonts w:eastAsia="Calibri" w:cs="Times New Roman"/>
              </w:rPr>
            </w:pPr>
            <w:r w:rsidRPr="006E666E">
              <w:rPr>
                <w:rFonts w:eastAsia="Calibri" w:cs="Times New Roman"/>
              </w:rPr>
              <w:t>Vendéglátó üzlet típus</w:t>
            </w:r>
          </w:p>
        </w:tc>
        <w:tc>
          <w:tcPr>
            <w:tcW w:w="881" w:type="dxa"/>
            <w:tcBorders>
              <w:top w:val="single" w:sz="12" w:space="0" w:color="auto"/>
              <w:left w:val="single" w:sz="12" w:space="0" w:color="auto"/>
              <w:bottom w:val="single" w:sz="12" w:space="0" w:color="auto"/>
              <w:right w:val="single" w:sz="12" w:space="0" w:color="auto"/>
            </w:tcBorders>
            <w:shd w:val="clear" w:color="auto" w:fill="FFFF99"/>
            <w:vAlign w:val="center"/>
          </w:tcPr>
          <w:p w:rsidR="00957C6F" w:rsidRDefault="00957C6F" w:rsidP="0097339F">
            <w:pPr>
              <w:jc w:val="center"/>
              <w:rPr>
                <w:rFonts w:eastAsia="Calibri" w:cs="Times New Roman"/>
              </w:rPr>
            </w:pPr>
          </w:p>
          <w:p w:rsidR="00957C6F" w:rsidRPr="006E666E" w:rsidRDefault="00957C6F" w:rsidP="0097339F">
            <w:pPr>
              <w:jc w:val="center"/>
              <w:rPr>
                <w:rFonts w:eastAsia="Calibri" w:cs="Times New Roman"/>
              </w:rPr>
            </w:pPr>
            <w:r>
              <w:rPr>
                <w:rFonts w:eastAsia="Calibri" w:cs="Times New Roman"/>
              </w:rPr>
              <w:t>Ellenőrzések száma</w:t>
            </w:r>
          </w:p>
        </w:tc>
        <w:tc>
          <w:tcPr>
            <w:tcW w:w="1356" w:type="dxa"/>
            <w:tcBorders>
              <w:top w:val="single" w:sz="12" w:space="0" w:color="auto"/>
              <w:left w:val="single" w:sz="12" w:space="0" w:color="auto"/>
              <w:bottom w:val="single" w:sz="12" w:space="0" w:color="auto"/>
              <w:right w:val="single" w:sz="12" w:space="0" w:color="auto"/>
            </w:tcBorders>
            <w:shd w:val="clear" w:color="auto" w:fill="FFFF99"/>
            <w:vAlign w:val="center"/>
          </w:tcPr>
          <w:p w:rsidR="00957C6F" w:rsidRPr="006E666E" w:rsidRDefault="00957C6F" w:rsidP="0097339F">
            <w:pPr>
              <w:jc w:val="center"/>
              <w:rPr>
                <w:rFonts w:eastAsia="Calibri" w:cs="Times New Roman"/>
              </w:rPr>
            </w:pPr>
          </w:p>
          <w:p w:rsidR="00957C6F" w:rsidRPr="006E666E" w:rsidRDefault="00957C6F" w:rsidP="0097339F">
            <w:pPr>
              <w:jc w:val="center"/>
              <w:rPr>
                <w:rFonts w:eastAsia="Calibri" w:cs="Times New Roman"/>
              </w:rPr>
            </w:pPr>
            <w:r w:rsidRPr="006E666E">
              <w:rPr>
                <w:rFonts w:eastAsia="Calibri" w:cs="Times New Roman"/>
              </w:rPr>
              <w:t>Ellenőrzött üzletek száma</w:t>
            </w:r>
          </w:p>
        </w:tc>
        <w:tc>
          <w:tcPr>
            <w:tcW w:w="1723" w:type="dxa"/>
            <w:tcBorders>
              <w:top w:val="single" w:sz="12" w:space="0" w:color="auto"/>
              <w:left w:val="single" w:sz="12" w:space="0" w:color="auto"/>
              <w:bottom w:val="single" w:sz="12" w:space="0" w:color="auto"/>
            </w:tcBorders>
            <w:shd w:val="clear" w:color="auto" w:fill="FFFF99"/>
            <w:vAlign w:val="center"/>
          </w:tcPr>
          <w:p w:rsidR="00957C6F" w:rsidRPr="006E666E" w:rsidRDefault="00957C6F" w:rsidP="0097339F">
            <w:pPr>
              <w:jc w:val="center"/>
              <w:rPr>
                <w:rFonts w:eastAsia="Calibri" w:cs="Times New Roman"/>
              </w:rPr>
            </w:pPr>
            <w:r w:rsidRPr="006E666E">
              <w:rPr>
                <w:rFonts w:eastAsia="Calibri" w:cs="Times New Roman"/>
              </w:rPr>
              <w:t>Megfelelően, biztonságosan üzemelő vendéglátó üzletek</w:t>
            </w:r>
          </w:p>
          <w:p w:rsidR="00957C6F" w:rsidRPr="006E666E" w:rsidRDefault="00957C6F" w:rsidP="0097339F">
            <w:pPr>
              <w:jc w:val="center"/>
              <w:rPr>
                <w:rFonts w:eastAsia="Calibri" w:cs="Times New Roman"/>
              </w:rPr>
            </w:pPr>
            <w:r w:rsidRPr="006E666E">
              <w:rPr>
                <w:rFonts w:eastAsia="Calibri" w:cs="Times New Roman"/>
              </w:rPr>
              <w:t>száma</w:t>
            </w:r>
          </w:p>
        </w:tc>
        <w:tc>
          <w:tcPr>
            <w:tcW w:w="1723" w:type="dxa"/>
            <w:tcBorders>
              <w:top w:val="single" w:sz="12" w:space="0" w:color="auto"/>
              <w:bottom w:val="single" w:sz="12" w:space="0" w:color="auto"/>
            </w:tcBorders>
            <w:shd w:val="clear" w:color="auto" w:fill="FFFF99"/>
            <w:vAlign w:val="center"/>
          </w:tcPr>
          <w:p w:rsidR="00957C6F" w:rsidRPr="006E666E" w:rsidRDefault="00957C6F" w:rsidP="0097339F">
            <w:pPr>
              <w:jc w:val="center"/>
              <w:rPr>
                <w:rFonts w:eastAsia="Calibri" w:cs="Times New Roman"/>
              </w:rPr>
            </w:pPr>
            <w:r w:rsidRPr="006E666E">
              <w:rPr>
                <w:rFonts w:eastAsia="Calibri" w:cs="Times New Roman"/>
              </w:rPr>
              <w:t>Feltárt hibákkal, de biztonságosan üzemelő vendéglátó üzletek</w:t>
            </w:r>
          </w:p>
          <w:p w:rsidR="00957C6F" w:rsidRPr="006E666E" w:rsidRDefault="00957C6F" w:rsidP="0097339F">
            <w:pPr>
              <w:jc w:val="center"/>
              <w:rPr>
                <w:rFonts w:eastAsia="Calibri" w:cs="Times New Roman"/>
              </w:rPr>
            </w:pPr>
            <w:r w:rsidRPr="006E666E">
              <w:rPr>
                <w:rFonts w:eastAsia="Calibri" w:cs="Times New Roman"/>
              </w:rPr>
              <w:t>száma</w:t>
            </w:r>
          </w:p>
        </w:tc>
        <w:tc>
          <w:tcPr>
            <w:tcW w:w="1759" w:type="dxa"/>
            <w:tcBorders>
              <w:top w:val="single" w:sz="12" w:space="0" w:color="auto"/>
              <w:bottom w:val="single" w:sz="12" w:space="0" w:color="auto"/>
              <w:right w:val="single" w:sz="12" w:space="0" w:color="auto"/>
            </w:tcBorders>
            <w:shd w:val="clear" w:color="auto" w:fill="FFFF99"/>
            <w:vAlign w:val="center"/>
          </w:tcPr>
          <w:p w:rsidR="00957C6F" w:rsidRPr="006E666E" w:rsidRDefault="00957C6F" w:rsidP="0097339F">
            <w:pPr>
              <w:jc w:val="center"/>
              <w:rPr>
                <w:rFonts w:eastAsia="Calibri" w:cs="Times New Roman"/>
              </w:rPr>
            </w:pPr>
            <w:r w:rsidRPr="006E666E">
              <w:rPr>
                <w:rFonts w:eastAsia="Calibri" w:cs="Times New Roman"/>
              </w:rPr>
              <w:t>Hatósági intézkedéssel, beavatkozással biztonságossá tett vendéglátó üzletek</w:t>
            </w:r>
          </w:p>
          <w:p w:rsidR="00957C6F" w:rsidRPr="006E666E" w:rsidRDefault="00957C6F" w:rsidP="0097339F">
            <w:pPr>
              <w:jc w:val="center"/>
              <w:rPr>
                <w:rFonts w:eastAsia="Calibri" w:cs="Times New Roman"/>
              </w:rPr>
            </w:pPr>
            <w:r w:rsidRPr="006E666E">
              <w:rPr>
                <w:rFonts w:eastAsia="Calibri" w:cs="Times New Roman"/>
              </w:rPr>
              <w:t>száma</w:t>
            </w:r>
          </w:p>
        </w:tc>
      </w:tr>
      <w:tr w:rsidR="00957C6F" w:rsidRPr="006E666E" w:rsidTr="0097339F">
        <w:trPr>
          <w:trHeight w:val="751"/>
        </w:trPr>
        <w:tc>
          <w:tcPr>
            <w:tcW w:w="1846" w:type="dxa"/>
            <w:tcBorders>
              <w:top w:val="single" w:sz="12" w:space="0" w:color="auto"/>
              <w:left w:val="single" w:sz="12" w:space="0" w:color="auto"/>
              <w:right w:val="single" w:sz="12" w:space="0" w:color="auto"/>
            </w:tcBorders>
            <w:vAlign w:val="center"/>
          </w:tcPr>
          <w:p w:rsidR="00957C6F" w:rsidRPr="006E666E" w:rsidRDefault="00957C6F" w:rsidP="0097339F">
            <w:pPr>
              <w:jc w:val="left"/>
              <w:rPr>
                <w:rFonts w:eastAsia="Calibri" w:cs="Times New Roman"/>
              </w:rPr>
            </w:pPr>
            <w:r w:rsidRPr="006E666E">
              <w:rPr>
                <w:rFonts w:eastAsia="Calibri" w:cs="Times New Roman"/>
              </w:rPr>
              <w:t>Cukrászda, fagylaltozó</w:t>
            </w:r>
          </w:p>
        </w:tc>
        <w:tc>
          <w:tcPr>
            <w:tcW w:w="881" w:type="dxa"/>
            <w:tcBorders>
              <w:top w:val="single" w:sz="12" w:space="0" w:color="auto"/>
              <w:left w:val="single" w:sz="12" w:space="0" w:color="auto"/>
              <w:right w:val="single" w:sz="12" w:space="0" w:color="auto"/>
            </w:tcBorders>
            <w:vAlign w:val="center"/>
          </w:tcPr>
          <w:p w:rsidR="00957C6F" w:rsidRDefault="00957C6F" w:rsidP="0097339F">
            <w:pPr>
              <w:jc w:val="center"/>
              <w:rPr>
                <w:rFonts w:ascii="Arial" w:eastAsia="Calibri" w:hAnsi="Arial" w:cs="Arial"/>
                <w:sz w:val="18"/>
                <w:szCs w:val="18"/>
              </w:rPr>
            </w:pPr>
            <w:r>
              <w:rPr>
                <w:rFonts w:ascii="Arial" w:eastAsia="Calibri" w:hAnsi="Arial" w:cs="Arial"/>
                <w:sz w:val="18"/>
                <w:szCs w:val="18"/>
              </w:rPr>
              <w:t>523</w:t>
            </w:r>
          </w:p>
        </w:tc>
        <w:tc>
          <w:tcPr>
            <w:tcW w:w="1356" w:type="dxa"/>
            <w:tcBorders>
              <w:top w:val="single" w:sz="12" w:space="0" w:color="auto"/>
              <w:left w:val="single" w:sz="12" w:space="0" w:color="auto"/>
              <w:right w:val="single" w:sz="12" w:space="0" w:color="auto"/>
            </w:tcBorders>
            <w:vAlign w:val="center"/>
          </w:tcPr>
          <w:p w:rsidR="00957C6F" w:rsidRPr="006E666E" w:rsidRDefault="00957C6F" w:rsidP="0097339F">
            <w:pPr>
              <w:jc w:val="center"/>
              <w:rPr>
                <w:rFonts w:ascii="Arial" w:eastAsia="Calibri" w:hAnsi="Arial" w:cs="Arial"/>
                <w:sz w:val="18"/>
                <w:szCs w:val="18"/>
              </w:rPr>
            </w:pPr>
            <w:r>
              <w:rPr>
                <w:rFonts w:ascii="Arial" w:eastAsia="Calibri" w:hAnsi="Arial" w:cs="Arial"/>
                <w:sz w:val="18"/>
                <w:szCs w:val="18"/>
              </w:rPr>
              <w:t>517</w:t>
            </w:r>
          </w:p>
        </w:tc>
        <w:tc>
          <w:tcPr>
            <w:tcW w:w="1723" w:type="dxa"/>
            <w:tcBorders>
              <w:top w:val="single" w:sz="12" w:space="0" w:color="auto"/>
              <w:left w:val="single" w:sz="12" w:space="0" w:color="auto"/>
            </w:tcBorders>
            <w:vAlign w:val="center"/>
          </w:tcPr>
          <w:p w:rsidR="00957C6F" w:rsidRPr="006E666E" w:rsidRDefault="00957C6F" w:rsidP="0097339F">
            <w:pPr>
              <w:jc w:val="center"/>
              <w:rPr>
                <w:rFonts w:ascii="Arial" w:eastAsia="Calibri" w:hAnsi="Arial" w:cs="Arial"/>
                <w:sz w:val="18"/>
                <w:szCs w:val="18"/>
              </w:rPr>
            </w:pPr>
            <w:r>
              <w:rPr>
                <w:rFonts w:ascii="Arial" w:eastAsia="Calibri" w:hAnsi="Arial" w:cs="Arial"/>
                <w:sz w:val="18"/>
                <w:szCs w:val="18"/>
              </w:rPr>
              <w:t>436</w:t>
            </w:r>
          </w:p>
          <w:p w:rsidR="00957C6F" w:rsidRPr="006E666E" w:rsidRDefault="00957C6F" w:rsidP="0097339F">
            <w:pPr>
              <w:jc w:val="center"/>
              <w:rPr>
                <w:rFonts w:ascii="Arial" w:eastAsia="Calibri" w:hAnsi="Arial" w:cs="Arial"/>
                <w:sz w:val="18"/>
                <w:szCs w:val="18"/>
              </w:rPr>
            </w:pPr>
            <w:r w:rsidRPr="006E666E">
              <w:rPr>
                <w:rFonts w:ascii="Arial" w:eastAsia="Calibri" w:hAnsi="Arial" w:cs="Arial"/>
                <w:sz w:val="18"/>
                <w:szCs w:val="18"/>
              </w:rPr>
              <w:t>(</w:t>
            </w:r>
            <w:r>
              <w:rPr>
                <w:rFonts w:ascii="Arial" w:eastAsia="Calibri" w:hAnsi="Arial" w:cs="Arial"/>
                <w:sz w:val="18"/>
                <w:szCs w:val="18"/>
              </w:rPr>
              <w:t>84,3</w:t>
            </w:r>
            <w:r w:rsidRPr="006E666E">
              <w:rPr>
                <w:rFonts w:ascii="Arial" w:eastAsia="Calibri" w:hAnsi="Arial" w:cs="Arial"/>
                <w:sz w:val="18"/>
                <w:szCs w:val="18"/>
              </w:rPr>
              <w:t xml:space="preserve"> %)</w:t>
            </w:r>
          </w:p>
        </w:tc>
        <w:tc>
          <w:tcPr>
            <w:tcW w:w="1723" w:type="dxa"/>
            <w:tcBorders>
              <w:top w:val="single" w:sz="12" w:space="0" w:color="auto"/>
            </w:tcBorders>
            <w:vAlign w:val="center"/>
          </w:tcPr>
          <w:p w:rsidR="00957C6F" w:rsidRPr="006E666E" w:rsidRDefault="00957C6F" w:rsidP="0097339F">
            <w:pPr>
              <w:jc w:val="center"/>
              <w:rPr>
                <w:rFonts w:ascii="Arial" w:eastAsia="Calibri" w:hAnsi="Arial" w:cs="Arial"/>
                <w:sz w:val="18"/>
                <w:szCs w:val="18"/>
              </w:rPr>
            </w:pPr>
            <w:r>
              <w:rPr>
                <w:rFonts w:ascii="Arial" w:eastAsia="Calibri" w:hAnsi="Arial" w:cs="Arial"/>
                <w:sz w:val="18"/>
                <w:szCs w:val="18"/>
              </w:rPr>
              <w:t>66</w:t>
            </w:r>
          </w:p>
          <w:p w:rsidR="00957C6F" w:rsidRPr="006E666E" w:rsidRDefault="00957C6F" w:rsidP="0097339F">
            <w:pPr>
              <w:jc w:val="center"/>
              <w:rPr>
                <w:rFonts w:ascii="Arial" w:eastAsia="Calibri" w:hAnsi="Arial" w:cs="Arial"/>
                <w:sz w:val="18"/>
                <w:szCs w:val="18"/>
              </w:rPr>
            </w:pPr>
            <w:r w:rsidRPr="006E666E">
              <w:rPr>
                <w:rFonts w:ascii="Arial" w:eastAsia="Calibri" w:hAnsi="Arial" w:cs="Arial"/>
                <w:sz w:val="18"/>
                <w:szCs w:val="18"/>
              </w:rPr>
              <w:t>(</w:t>
            </w:r>
            <w:r>
              <w:rPr>
                <w:rFonts w:ascii="Arial" w:eastAsia="Calibri" w:hAnsi="Arial" w:cs="Arial"/>
                <w:sz w:val="18"/>
                <w:szCs w:val="18"/>
              </w:rPr>
              <w:t>12,7</w:t>
            </w:r>
            <w:r w:rsidRPr="006E666E" w:rsidDel="00902AB5">
              <w:rPr>
                <w:rFonts w:ascii="Arial" w:eastAsia="Calibri" w:hAnsi="Arial" w:cs="Arial"/>
                <w:sz w:val="18"/>
                <w:szCs w:val="18"/>
              </w:rPr>
              <w:t xml:space="preserve"> </w:t>
            </w:r>
            <w:r w:rsidRPr="006E666E">
              <w:rPr>
                <w:rFonts w:ascii="Arial" w:eastAsia="Calibri" w:hAnsi="Arial" w:cs="Arial"/>
                <w:sz w:val="18"/>
                <w:szCs w:val="18"/>
              </w:rPr>
              <w:t>%)</w:t>
            </w:r>
          </w:p>
        </w:tc>
        <w:tc>
          <w:tcPr>
            <w:tcW w:w="1759" w:type="dxa"/>
            <w:tcBorders>
              <w:top w:val="single" w:sz="12" w:space="0" w:color="auto"/>
              <w:right w:val="single" w:sz="12" w:space="0" w:color="auto"/>
            </w:tcBorders>
            <w:vAlign w:val="center"/>
          </w:tcPr>
          <w:p w:rsidR="00957C6F" w:rsidRPr="006E666E" w:rsidRDefault="00957C6F" w:rsidP="0097339F">
            <w:pPr>
              <w:jc w:val="center"/>
              <w:rPr>
                <w:rFonts w:ascii="Arial" w:eastAsia="Calibri" w:hAnsi="Arial" w:cs="Arial"/>
                <w:sz w:val="18"/>
                <w:szCs w:val="18"/>
              </w:rPr>
            </w:pPr>
            <w:r>
              <w:rPr>
                <w:rFonts w:ascii="Arial" w:eastAsia="Calibri" w:hAnsi="Arial" w:cs="Arial"/>
                <w:sz w:val="18"/>
                <w:szCs w:val="18"/>
              </w:rPr>
              <w:t>15</w:t>
            </w:r>
          </w:p>
          <w:p w:rsidR="00957C6F" w:rsidRPr="006E666E" w:rsidRDefault="00957C6F" w:rsidP="0097339F">
            <w:pPr>
              <w:jc w:val="center"/>
              <w:rPr>
                <w:rFonts w:ascii="Arial" w:eastAsia="Calibri" w:hAnsi="Arial" w:cs="Arial"/>
                <w:sz w:val="18"/>
                <w:szCs w:val="18"/>
              </w:rPr>
            </w:pPr>
            <w:r w:rsidRPr="006E666E">
              <w:rPr>
                <w:rFonts w:ascii="Arial" w:eastAsia="Calibri" w:hAnsi="Arial" w:cs="Arial"/>
                <w:sz w:val="18"/>
                <w:szCs w:val="18"/>
              </w:rPr>
              <w:t>(2,9 %)</w:t>
            </w:r>
          </w:p>
        </w:tc>
      </w:tr>
      <w:tr w:rsidR="00957C6F" w:rsidRPr="006E666E" w:rsidTr="0097339F">
        <w:trPr>
          <w:trHeight w:val="731"/>
        </w:trPr>
        <w:tc>
          <w:tcPr>
            <w:tcW w:w="1846" w:type="dxa"/>
            <w:tcBorders>
              <w:left w:val="single" w:sz="12" w:space="0" w:color="auto"/>
              <w:right w:val="single" w:sz="12" w:space="0" w:color="auto"/>
            </w:tcBorders>
            <w:vAlign w:val="center"/>
          </w:tcPr>
          <w:p w:rsidR="00957C6F" w:rsidRPr="006E666E" w:rsidRDefault="00957C6F" w:rsidP="0097339F">
            <w:pPr>
              <w:jc w:val="left"/>
              <w:rPr>
                <w:rFonts w:eastAsia="Calibri" w:cs="Times New Roman"/>
              </w:rPr>
            </w:pPr>
            <w:r w:rsidRPr="006E666E">
              <w:rPr>
                <w:rFonts w:eastAsia="Calibri" w:cs="Times New Roman"/>
              </w:rPr>
              <w:t>Büfé, falatozó</w:t>
            </w:r>
          </w:p>
        </w:tc>
        <w:tc>
          <w:tcPr>
            <w:tcW w:w="881" w:type="dxa"/>
            <w:tcBorders>
              <w:left w:val="single" w:sz="12" w:space="0" w:color="auto"/>
              <w:right w:val="single" w:sz="12" w:space="0" w:color="auto"/>
            </w:tcBorders>
            <w:vAlign w:val="center"/>
          </w:tcPr>
          <w:p w:rsidR="00957C6F" w:rsidRDefault="00957C6F" w:rsidP="0097339F">
            <w:pPr>
              <w:jc w:val="center"/>
              <w:rPr>
                <w:rFonts w:ascii="Arial" w:eastAsia="Calibri" w:hAnsi="Arial" w:cs="Arial"/>
                <w:sz w:val="18"/>
                <w:szCs w:val="18"/>
              </w:rPr>
            </w:pPr>
            <w:r>
              <w:rPr>
                <w:rFonts w:ascii="Arial" w:eastAsia="Calibri" w:hAnsi="Arial" w:cs="Arial"/>
                <w:sz w:val="18"/>
                <w:szCs w:val="18"/>
              </w:rPr>
              <w:t>1086</w:t>
            </w:r>
          </w:p>
        </w:tc>
        <w:tc>
          <w:tcPr>
            <w:tcW w:w="1356" w:type="dxa"/>
            <w:tcBorders>
              <w:left w:val="single" w:sz="12" w:space="0" w:color="auto"/>
              <w:right w:val="single" w:sz="12" w:space="0" w:color="auto"/>
            </w:tcBorders>
            <w:vAlign w:val="center"/>
          </w:tcPr>
          <w:p w:rsidR="00957C6F" w:rsidRPr="006E666E" w:rsidRDefault="00957C6F" w:rsidP="0097339F">
            <w:pPr>
              <w:jc w:val="center"/>
              <w:rPr>
                <w:rFonts w:ascii="Arial" w:eastAsia="Calibri" w:hAnsi="Arial" w:cs="Arial"/>
                <w:sz w:val="18"/>
                <w:szCs w:val="18"/>
              </w:rPr>
            </w:pPr>
            <w:r>
              <w:rPr>
                <w:rFonts w:ascii="Arial" w:eastAsia="Calibri" w:hAnsi="Arial" w:cs="Arial"/>
                <w:sz w:val="18"/>
                <w:szCs w:val="18"/>
              </w:rPr>
              <w:t>1071</w:t>
            </w:r>
          </w:p>
        </w:tc>
        <w:tc>
          <w:tcPr>
            <w:tcW w:w="1723" w:type="dxa"/>
            <w:tcBorders>
              <w:left w:val="single" w:sz="12" w:space="0" w:color="auto"/>
            </w:tcBorders>
            <w:vAlign w:val="center"/>
          </w:tcPr>
          <w:p w:rsidR="00957C6F" w:rsidRPr="006E666E" w:rsidRDefault="00957C6F" w:rsidP="0097339F">
            <w:pPr>
              <w:jc w:val="center"/>
              <w:rPr>
                <w:rFonts w:ascii="Arial" w:eastAsia="Calibri" w:hAnsi="Arial" w:cs="Arial"/>
                <w:sz w:val="18"/>
                <w:szCs w:val="18"/>
              </w:rPr>
            </w:pPr>
            <w:r>
              <w:rPr>
                <w:rFonts w:ascii="Arial" w:eastAsia="Calibri" w:hAnsi="Arial" w:cs="Arial"/>
                <w:sz w:val="18"/>
                <w:szCs w:val="18"/>
              </w:rPr>
              <w:t>871</w:t>
            </w:r>
          </w:p>
          <w:p w:rsidR="00957C6F" w:rsidRPr="006E666E" w:rsidRDefault="00957C6F" w:rsidP="0097339F">
            <w:pPr>
              <w:jc w:val="center"/>
              <w:rPr>
                <w:rFonts w:ascii="Arial" w:eastAsia="Calibri" w:hAnsi="Arial" w:cs="Arial"/>
                <w:sz w:val="18"/>
                <w:szCs w:val="18"/>
              </w:rPr>
            </w:pPr>
            <w:r w:rsidRPr="006E666E">
              <w:rPr>
                <w:rFonts w:ascii="Arial" w:eastAsia="Calibri" w:hAnsi="Arial" w:cs="Arial"/>
                <w:sz w:val="18"/>
                <w:szCs w:val="18"/>
              </w:rPr>
              <w:t>(</w:t>
            </w:r>
            <w:r>
              <w:rPr>
                <w:rFonts w:ascii="Arial" w:eastAsia="Calibri" w:hAnsi="Arial" w:cs="Arial"/>
                <w:sz w:val="18"/>
                <w:szCs w:val="18"/>
              </w:rPr>
              <w:t>81,3</w:t>
            </w:r>
            <w:r w:rsidRPr="006E666E">
              <w:rPr>
                <w:rFonts w:ascii="Arial" w:eastAsia="Calibri" w:hAnsi="Arial" w:cs="Arial"/>
                <w:sz w:val="18"/>
                <w:szCs w:val="18"/>
              </w:rPr>
              <w:t xml:space="preserve"> %)</w:t>
            </w:r>
          </w:p>
        </w:tc>
        <w:tc>
          <w:tcPr>
            <w:tcW w:w="1723" w:type="dxa"/>
            <w:vAlign w:val="center"/>
          </w:tcPr>
          <w:p w:rsidR="00957C6F" w:rsidRPr="006E666E" w:rsidRDefault="00957C6F" w:rsidP="0097339F">
            <w:pPr>
              <w:jc w:val="center"/>
              <w:rPr>
                <w:rFonts w:ascii="Arial" w:eastAsia="Calibri" w:hAnsi="Arial" w:cs="Arial"/>
                <w:sz w:val="18"/>
                <w:szCs w:val="18"/>
              </w:rPr>
            </w:pPr>
            <w:r>
              <w:rPr>
                <w:rFonts w:ascii="Arial" w:eastAsia="Calibri" w:hAnsi="Arial" w:cs="Arial"/>
                <w:sz w:val="18"/>
                <w:szCs w:val="18"/>
              </w:rPr>
              <w:t>172</w:t>
            </w:r>
          </w:p>
          <w:p w:rsidR="00957C6F" w:rsidRPr="006E666E" w:rsidRDefault="00957C6F" w:rsidP="0097339F">
            <w:pPr>
              <w:jc w:val="center"/>
              <w:rPr>
                <w:rFonts w:ascii="Arial" w:eastAsia="Calibri" w:hAnsi="Arial" w:cs="Arial"/>
                <w:sz w:val="18"/>
                <w:szCs w:val="18"/>
              </w:rPr>
            </w:pPr>
            <w:r w:rsidRPr="006E666E">
              <w:rPr>
                <w:rFonts w:ascii="Arial" w:eastAsia="Calibri" w:hAnsi="Arial" w:cs="Arial"/>
                <w:sz w:val="18"/>
                <w:szCs w:val="18"/>
              </w:rPr>
              <w:t>(</w:t>
            </w:r>
            <w:r>
              <w:rPr>
                <w:rFonts w:ascii="Arial" w:eastAsia="Calibri" w:hAnsi="Arial" w:cs="Arial"/>
                <w:sz w:val="18"/>
                <w:szCs w:val="18"/>
              </w:rPr>
              <w:t>16</w:t>
            </w:r>
            <w:r w:rsidRPr="006E666E">
              <w:rPr>
                <w:rFonts w:ascii="Arial" w:eastAsia="Calibri" w:hAnsi="Arial" w:cs="Arial"/>
                <w:sz w:val="18"/>
                <w:szCs w:val="18"/>
              </w:rPr>
              <w:t xml:space="preserve"> %)</w:t>
            </w:r>
          </w:p>
        </w:tc>
        <w:tc>
          <w:tcPr>
            <w:tcW w:w="1759" w:type="dxa"/>
            <w:tcBorders>
              <w:right w:val="single" w:sz="12" w:space="0" w:color="auto"/>
            </w:tcBorders>
            <w:vAlign w:val="center"/>
          </w:tcPr>
          <w:p w:rsidR="00957C6F" w:rsidRPr="006E666E" w:rsidRDefault="00957C6F" w:rsidP="0097339F">
            <w:pPr>
              <w:jc w:val="center"/>
              <w:rPr>
                <w:rFonts w:ascii="Arial" w:eastAsia="Calibri" w:hAnsi="Arial" w:cs="Arial"/>
                <w:sz w:val="18"/>
                <w:szCs w:val="18"/>
              </w:rPr>
            </w:pPr>
            <w:r>
              <w:rPr>
                <w:rFonts w:ascii="Arial" w:eastAsia="Calibri" w:hAnsi="Arial" w:cs="Arial"/>
                <w:sz w:val="18"/>
                <w:szCs w:val="18"/>
              </w:rPr>
              <w:t>28</w:t>
            </w:r>
          </w:p>
          <w:p w:rsidR="00957C6F" w:rsidRPr="006E666E" w:rsidRDefault="00957C6F" w:rsidP="0097339F">
            <w:pPr>
              <w:jc w:val="center"/>
              <w:rPr>
                <w:rFonts w:ascii="Arial" w:eastAsia="Calibri" w:hAnsi="Arial" w:cs="Arial"/>
                <w:sz w:val="18"/>
                <w:szCs w:val="18"/>
              </w:rPr>
            </w:pPr>
            <w:r w:rsidRPr="006E666E">
              <w:rPr>
                <w:rFonts w:ascii="Arial" w:eastAsia="Calibri" w:hAnsi="Arial" w:cs="Arial"/>
                <w:sz w:val="18"/>
                <w:szCs w:val="18"/>
              </w:rPr>
              <w:t>(</w:t>
            </w:r>
            <w:r>
              <w:rPr>
                <w:rFonts w:ascii="Arial" w:eastAsia="Calibri" w:hAnsi="Arial" w:cs="Arial"/>
                <w:sz w:val="18"/>
                <w:szCs w:val="18"/>
              </w:rPr>
              <w:t>2,6</w:t>
            </w:r>
            <w:r w:rsidRPr="006E666E">
              <w:rPr>
                <w:rFonts w:ascii="Arial" w:eastAsia="Calibri" w:hAnsi="Arial" w:cs="Arial"/>
                <w:sz w:val="18"/>
                <w:szCs w:val="18"/>
              </w:rPr>
              <w:t>%)</w:t>
            </w:r>
          </w:p>
        </w:tc>
      </w:tr>
      <w:tr w:rsidR="00957C6F" w:rsidRPr="006E666E" w:rsidTr="0097339F">
        <w:trPr>
          <w:trHeight w:val="693"/>
        </w:trPr>
        <w:tc>
          <w:tcPr>
            <w:tcW w:w="1846" w:type="dxa"/>
            <w:tcBorders>
              <w:left w:val="single" w:sz="12" w:space="0" w:color="auto"/>
              <w:right w:val="single" w:sz="12" w:space="0" w:color="auto"/>
            </w:tcBorders>
            <w:vAlign w:val="center"/>
          </w:tcPr>
          <w:p w:rsidR="00957C6F" w:rsidRPr="006E666E" w:rsidRDefault="00957C6F" w:rsidP="0097339F">
            <w:pPr>
              <w:jc w:val="left"/>
              <w:rPr>
                <w:rFonts w:eastAsia="Calibri" w:cs="Times New Roman"/>
              </w:rPr>
            </w:pPr>
            <w:r w:rsidRPr="006E666E">
              <w:rPr>
                <w:rFonts w:eastAsia="Calibri" w:cs="Times New Roman"/>
              </w:rPr>
              <w:t>Éttermi vendéglátó</w:t>
            </w:r>
          </w:p>
        </w:tc>
        <w:tc>
          <w:tcPr>
            <w:tcW w:w="881" w:type="dxa"/>
            <w:tcBorders>
              <w:left w:val="single" w:sz="12" w:space="0" w:color="auto"/>
              <w:right w:val="single" w:sz="12" w:space="0" w:color="auto"/>
            </w:tcBorders>
            <w:vAlign w:val="center"/>
          </w:tcPr>
          <w:p w:rsidR="00957C6F" w:rsidRDefault="00957C6F" w:rsidP="0097339F">
            <w:pPr>
              <w:jc w:val="center"/>
              <w:rPr>
                <w:rFonts w:ascii="Arial" w:eastAsia="Calibri" w:hAnsi="Arial" w:cs="Arial"/>
                <w:sz w:val="18"/>
                <w:szCs w:val="18"/>
              </w:rPr>
            </w:pPr>
            <w:r>
              <w:rPr>
                <w:rFonts w:ascii="Arial" w:eastAsia="Calibri" w:hAnsi="Arial" w:cs="Arial"/>
                <w:sz w:val="18"/>
                <w:szCs w:val="18"/>
              </w:rPr>
              <w:t>1151</w:t>
            </w:r>
          </w:p>
        </w:tc>
        <w:tc>
          <w:tcPr>
            <w:tcW w:w="1356" w:type="dxa"/>
            <w:tcBorders>
              <w:left w:val="single" w:sz="12" w:space="0" w:color="auto"/>
              <w:right w:val="single" w:sz="12" w:space="0" w:color="auto"/>
            </w:tcBorders>
            <w:vAlign w:val="center"/>
          </w:tcPr>
          <w:p w:rsidR="00957C6F" w:rsidRPr="006E666E" w:rsidRDefault="00957C6F" w:rsidP="0097339F">
            <w:pPr>
              <w:jc w:val="center"/>
              <w:rPr>
                <w:rFonts w:ascii="Arial" w:eastAsia="Calibri" w:hAnsi="Arial" w:cs="Arial"/>
                <w:sz w:val="18"/>
                <w:szCs w:val="18"/>
              </w:rPr>
            </w:pPr>
            <w:r>
              <w:rPr>
                <w:rFonts w:ascii="Arial" w:eastAsia="Calibri" w:hAnsi="Arial" w:cs="Arial"/>
                <w:sz w:val="18"/>
                <w:szCs w:val="18"/>
              </w:rPr>
              <w:t>1136</w:t>
            </w:r>
          </w:p>
        </w:tc>
        <w:tc>
          <w:tcPr>
            <w:tcW w:w="1723" w:type="dxa"/>
            <w:tcBorders>
              <w:left w:val="single" w:sz="12" w:space="0" w:color="auto"/>
            </w:tcBorders>
            <w:vAlign w:val="center"/>
          </w:tcPr>
          <w:p w:rsidR="00957C6F" w:rsidRPr="006E666E" w:rsidRDefault="00957C6F" w:rsidP="0097339F">
            <w:pPr>
              <w:jc w:val="center"/>
              <w:rPr>
                <w:rFonts w:ascii="Arial" w:eastAsia="Calibri" w:hAnsi="Arial" w:cs="Arial"/>
                <w:sz w:val="18"/>
                <w:szCs w:val="18"/>
              </w:rPr>
            </w:pPr>
          </w:p>
          <w:p w:rsidR="00957C6F" w:rsidRPr="006E666E" w:rsidRDefault="00957C6F" w:rsidP="0097339F">
            <w:pPr>
              <w:jc w:val="center"/>
              <w:rPr>
                <w:rFonts w:ascii="Arial" w:eastAsia="Calibri" w:hAnsi="Arial" w:cs="Arial"/>
                <w:sz w:val="18"/>
                <w:szCs w:val="18"/>
              </w:rPr>
            </w:pPr>
            <w:r>
              <w:rPr>
                <w:rFonts w:ascii="Arial" w:eastAsia="Calibri" w:hAnsi="Arial" w:cs="Arial"/>
                <w:sz w:val="18"/>
                <w:szCs w:val="18"/>
              </w:rPr>
              <w:t>879</w:t>
            </w:r>
          </w:p>
          <w:p w:rsidR="00957C6F" w:rsidRPr="006E666E" w:rsidRDefault="00957C6F" w:rsidP="0097339F">
            <w:pPr>
              <w:jc w:val="center"/>
              <w:rPr>
                <w:rFonts w:ascii="Arial" w:eastAsia="Calibri" w:hAnsi="Arial" w:cs="Arial"/>
                <w:sz w:val="18"/>
                <w:szCs w:val="18"/>
              </w:rPr>
            </w:pPr>
            <w:r w:rsidRPr="006E666E">
              <w:rPr>
                <w:rFonts w:ascii="Arial" w:eastAsia="Calibri" w:hAnsi="Arial" w:cs="Arial"/>
                <w:sz w:val="18"/>
                <w:szCs w:val="18"/>
              </w:rPr>
              <w:t>(</w:t>
            </w:r>
            <w:r>
              <w:rPr>
                <w:rFonts w:ascii="Arial" w:eastAsia="Calibri" w:hAnsi="Arial" w:cs="Arial"/>
                <w:sz w:val="18"/>
                <w:szCs w:val="18"/>
              </w:rPr>
              <w:t>77,3</w:t>
            </w:r>
            <w:r w:rsidRPr="006E666E">
              <w:rPr>
                <w:rFonts w:ascii="Arial" w:eastAsia="Calibri" w:hAnsi="Arial" w:cs="Arial"/>
                <w:sz w:val="18"/>
                <w:szCs w:val="18"/>
              </w:rPr>
              <w:t xml:space="preserve"> %)</w:t>
            </w:r>
          </w:p>
          <w:p w:rsidR="00957C6F" w:rsidRPr="006E666E" w:rsidRDefault="00957C6F" w:rsidP="0097339F">
            <w:pPr>
              <w:jc w:val="center"/>
              <w:rPr>
                <w:rFonts w:ascii="Arial" w:eastAsia="Calibri" w:hAnsi="Arial" w:cs="Arial"/>
                <w:sz w:val="18"/>
                <w:szCs w:val="18"/>
              </w:rPr>
            </w:pPr>
          </w:p>
        </w:tc>
        <w:tc>
          <w:tcPr>
            <w:tcW w:w="1723" w:type="dxa"/>
            <w:vAlign w:val="center"/>
          </w:tcPr>
          <w:p w:rsidR="00957C6F" w:rsidRPr="006E666E" w:rsidRDefault="00957C6F" w:rsidP="0097339F">
            <w:pPr>
              <w:jc w:val="center"/>
              <w:rPr>
                <w:rFonts w:ascii="Arial" w:eastAsia="Calibri" w:hAnsi="Arial" w:cs="Arial"/>
                <w:sz w:val="18"/>
                <w:szCs w:val="18"/>
              </w:rPr>
            </w:pPr>
            <w:r>
              <w:rPr>
                <w:rFonts w:ascii="Arial" w:eastAsia="Calibri" w:hAnsi="Arial" w:cs="Arial"/>
                <w:sz w:val="18"/>
                <w:szCs w:val="18"/>
              </w:rPr>
              <w:t>177</w:t>
            </w:r>
          </w:p>
          <w:p w:rsidR="00957C6F" w:rsidRPr="006E666E" w:rsidRDefault="00957C6F" w:rsidP="0097339F">
            <w:pPr>
              <w:jc w:val="center"/>
              <w:rPr>
                <w:rFonts w:ascii="Arial" w:eastAsia="Calibri" w:hAnsi="Arial" w:cs="Arial"/>
                <w:sz w:val="18"/>
                <w:szCs w:val="18"/>
              </w:rPr>
            </w:pPr>
            <w:r w:rsidRPr="006E666E">
              <w:rPr>
                <w:rFonts w:ascii="Arial" w:eastAsia="Calibri" w:hAnsi="Arial" w:cs="Arial"/>
                <w:sz w:val="18"/>
                <w:szCs w:val="18"/>
              </w:rPr>
              <w:t>(</w:t>
            </w:r>
            <w:r>
              <w:rPr>
                <w:rFonts w:ascii="Arial" w:eastAsia="Calibri" w:hAnsi="Arial" w:cs="Arial"/>
                <w:sz w:val="18"/>
                <w:szCs w:val="18"/>
              </w:rPr>
              <w:t>15,5</w:t>
            </w:r>
            <w:r w:rsidRPr="006E666E">
              <w:rPr>
                <w:rFonts w:ascii="Arial" w:eastAsia="Calibri" w:hAnsi="Arial" w:cs="Arial"/>
                <w:sz w:val="18"/>
                <w:szCs w:val="18"/>
              </w:rPr>
              <w:t xml:space="preserve"> %)</w:t>
            </w:r>
          </w:p>
        </w:tc>
        <w:tc>
          <w:tcPr>
            <w:tcW w:w="1759" w:type="dxa"/>
            <w:tcBorders>
              <w:right w:val="single" w:sz="12" w:space="0" w:color="auto"/>
            </w:tcBorders>
            <w:vAlign w:val="center"/>
          </w:tcPr>
          <w:p w:rsidR="00957C6F" w:rsidRPr="006E666E" w:rsidRDefault="00957C6F" w:rsidP="0097339F">
            <w:pPr>
              <w:jc w:val="center"/>
              <w:rPr>
                <w:rFonts w:ascii="Arial" w:eastAsia="Calibri" w:hAnsi="Arial" w:cs="Arial"/>
                <w:sz w:val="18"/>
                <w:szCs w:val="18"/>
              </w:rPr>
            </w:pPr>
            <w:r>
              <w:rPr>
                <w:rFonts w:ascii="Arial" w:eastAsia="Calibri" w:hAnsi="Arial" w:cs="Arial"/>
                <w:sz w:val="18"/>
                <w:szCs w:val="18"/>
              </w:rPr>
              <w:t>80</w:t>
            </w:r>
          </w:p>
          <w:p w:rsidR="00957C6F" w:rsidRPr="006E666E" w:rsidRDefault="00957C6F" w:rsidP="0097339F">
            <w:pPr>
              <w:jc w:val="center"/>
              <w:rPr>
                <w:rFonts w:ascii="Arial" w:eastAsia="Calibri" w:hAnsi="Arial" w:cs="Arial"/>
                <w:sz w:val="18"/>
                <w:szCs w:val="18"/>
              </w:rPr>
            </w:pPr>
            <w:r w:rsidRPr="006E666E">
              <w:rPr>
                <w:rFonts w:ascii="Arial" w:eastAsia="Calibri" w:hAnsi="Arial" w:cs="Arial"/>
                <w:sz w:val="18"/>
                <w:szCs w:val="18"/>
              </w:rPr>
              <w:t>(</w:t>
            </w:r>
            <w:r>
              <w:rPr>
                <w:rFonts w:ascii="Arial" w:eastAsia="Calibri" w:hAnsi="Arial" w:cs="Arial"/>
                <w:sz w:val="18"/>
                <w:szCs w:val="18"/>
              </w:rPr>
              <w:t>7</w:t>
            </w:r>
            <w:r w:rsidRPr="006E666E">
              <w:rPr>
                <w:rFonts w:ascii="Arial" w:eastAsia="Calibri" w:hAnsi="Arial" w:cs="Arial"/>
                <w:sz w:val="18"/>
                <w:szCs w:val="18"/>
              </w:rPr>
              <w:t xml:space="preserve"> %)</w:t>
            </w:r>
          </w:p>
        </w:tc>
      </w:tr>
      <w:tr w:rsidR="00957C6F" w:rsidRPr="006E666E" w:rsidTr="0097339F">
        <w:trPr>
          <w:trHeight w:val="606"/>
        </w:trPr>
        <w:tc>
          <w:tcPr>
            <w:tcW w:w="1846" w:type="dxa"/>
            <w:tcBorders>
              <w:left w:val="single" w:sz="12" w:space="0" w:color="auto"/>
              <w:right w:val="single" w:sz="12" w:space="0" w:color="auto"/>
            </w:tcBorders>
            <w:vAlign w:val="center"/>
          </w:tcPr>
          <w:p w:rsidR="00957C6F" w:rsidRPr="006E666E" w:rsidRDefault="00957C6F" w:rsidP="0097339F">
            <w:pPr>
              <w:jc w:val="left"/>
              <w:rPr>
                <w:rFonts w:eastAsia="Calibri" w:cs="Times New Roman"/>
              </w:rPr>
            </w:pPr>
            <w:r w:rsidRPr="006E666E">
              <w:rPr>
                <w:rFonts w:eastAsia="Calibri" w:cs="Times New Roman"/>
              </w:rPr>
              <w:t>Gyors étkeztető</w:t>
            </w:r>
          </w:p>
        </w:tc>
        <w:tc>
          <w:tcPr>
            <w:tcW w:w="881" w:type="dxa"/>
            <w:tcBorders>
              <w:left w:val="single" w:sz="12" w:space="0" w:color="auto"/>
              <w:right w:val="single" w:sz="12" w:space="0" w:color="auto"/>
            </w:tcBorders>
            <w:vAlign w:val="center"/>
          </w:tcPr>
          <w:p w:rsidR="00957C6F" w:rsidRDefault="00957C6F" w:rsidP="0097339F">
            <w:pPr>
              <w:jc w:val="center"/>
              <w:rPr>
                <w:rFonts w:ascii="Arial" w:eastAsia="Calibri" w:hAnsi="Arial" w:cs="Arial"/>
                <w:sz w:val="18"/>
                <w:szCs w:val="18"/>
              </w:rPr>
            </w:pPr>
            <w:r>
              <w:rPr>
                <w:rFonts w:ascii="Arial" w:eastAsia="Calibri" w:hAnsi="Arial" w:cs="Arial"/>
                <w:sz w:val="18"/>
                <w:szCs w:val="18"/>
              </w:rPr>
              <w:t>179</w:t>
            </w:r>
          </w:p>
        </w:tc>
        <w:tc>
          <w:tcPr>
            <w:tcW w:w="1356" w:type="dxa"/>
            <w:tcBorders>
              <w:left w:val="single" w:sz="12" w:space="0" w:color="auto"/>
              <w:right w:val="single" w:sz="12" w:space="0" w:color="auto"/>
            </w:tcBorders>
            <w:vAlign w:val="center"/>
          </w:tcPr>
          <w:p w:rsidR="00957C6F" w:rsidRPr="006E666E" w:rsidRDefault="00957C6F" w:rsidP="0097339F">
            <w:pPr>
              <w:jc w:val="center"/>
              <w:rPr>
                <w:rFonts w:ascii="Arial" w:eastAsia="Calibri" w:hAnsi="Arial" w:cs="Arial"/>
                <w:sz w:val="18"/>
                <w:szCs w:val="18"/>
              </w:rPr>
            </w:pPr>
            <w:r>
              <w:rPr>
                <w:rFonts w:ascii="Arial" w:eastAsia="Calibri" w:hAnsi="Arial" w:cs="Arial"/>
                <w:sz w:val="18"/>
                <w:szCs w:val="18"/>
              </w:rPr>
              <w:t>179</w:t>
            </w:r>
          </w:p>
        </w:tc>
        <w:tc>
          <w:tcPr>
            <w:tcW w:w="1723" w:type="dxa"/>
            <w:tcBorders>
              <w:left w:val="single" w:sz="12" w:space="0" w:color="auto"/>
            </w:tcBorders>
            <w:vAlign w:val="center"/>
          </w:tcPr>
          <w:p w:rsidR="00957C6F" w:rsidRPr="006E666E" w:rsidRDefault="00957C6F" w:rsidP="0097339F">
            <w:pPr>
              <w:jc w:val="center"/>
              <w:rPr>
                <w:rFonts w:ascii="Arial" w:eastAsia="Calibri" w:hAnsi="Arial" w:cs="Arial"/>
                <w:sz w:val="18"/>
                <w:szCs w:val="18"/>
              </w:rPr>
            </w:pPr>
            <w:r>
              <w:rPr>
                <w:rFonts w:ascii="Arial" w:eastAsia="Calibri" w:hAnsi="Arial" w:cs="Arial"/>
                <w:sz w:val="18"/>
                <w:szCs w:val="18"/>
              </w:rPr>
              <w:t>139</w:t>
            </w:r>
          </w:p>
          <w:p w:rsidR="00957C6F" w:rsidRPr="006E666E" w:rsidRDefault="00957C6F" w:rsidP="0097339F">
            <w:pPr>
              <w:jc w:val="center"/>
              <w:rPr>
                <w:rFonts w:ascii="Arial" w:eastAsia="Calibri" w:hAnsi="Arial" w:cs="Arial"/>
                <w:sz w:val="18"/>
                <w:szCs w:val="18"/>
              </w:rPr>
            </w:pPr>
            <w:r w:rsidRPr="006E666E">
              <w:rPr>
                <w:rFonts w:ascii="Arial" w:eastAsia="Calibri" w:hAnsi="Arial" w:cs="Arial"/>
                <w:sz w:val="18"/>
                <w:szCs w:val="18"/>
              </w:rPr>
              <w:t>(</w:t>
            </w:r>
            <w:r>
              <w:rPr>
                <w:rFonts w:ascii="Arial" w:eastAsia="Calibri" w:hAnsi="Arial" w:cs="Arial"/>
                <w:sz w:val="18"/>
                <w:szCs w:val="18"/>
              </w:rPr>
              <w:t>77,6</w:t>
            </w:r>
            <w:r w:rsidRPr="006E666E">
              <w:rPr>
                <w:rFonts w:ascii="Arial" w:eastAsia="Calibri" w:hAnsi="Arial" w:cs="Arial"/>
                <w:sz w:val="18"/>
                <w:szCs w:val="18"/>
              </w:rPr>
              <w:t xml:space="preserve"> %)</w:t>
            </w:r>
          </w:p>
        </w:tc>
        <w:tc>
          <w:tcPr>
            <w:tcW w:w="1723" w:type="dxa"/>
            <w:vAlign w:val="center"/>
          </w:tcPr>
          <w:p w:rsidR="00957C6F" w:rsidRPr="006E666E" w:rsidRDefault="00957C6F" w:rsidP="0097339F">
            <w:pPr>
              <w:jc w:val="center"/>
              <w:rPr>
                <w:rFonts w:ascii="Arial" w:eastAsia="Calibri" w:hAnsi="Arial" w:cs="Arial"/>
                <w:sz w:val="18"/>
                <w:szCs w:val="18"/>
              </w:rPr>
            </w:pPr>
            <w:r>
              <w:rPr>
                <w:rFonts w:ascii="Arial" w:eastAsia="Calibri" w:hAnsi="Arial" w:cs="Arial"/>
                <w:sz w:val="18"/>
                <w:szCs w:val="18"/>
              </w:rPr>
              <w:t>27</w:t>
            </w:r>
          </w:p>
          <w:p w:rsidR="00957C6F" w:rsidRPr="006E666E" w:rsidRDefault="00957C6F" w:rsidP="0097339F">
            <w:pPr>
              <w:jc w:val="center"/>
              <w:rPr>
                <w:rFonts w:ascii="Arial" w:eastAsia="Calibri" w:hAnsi="Arial" w:cs="Arial"/>
                <w:sz w:val="18"/>
                <w:szCs w:val="18"/>
              </w:rPr>
            </w:pPr>
            <w:r w:rsidRPr="006E666E">
              <w:rPr>
                <w:rFonts w:ascii="Arial" w:eastAsia="Calibri" w:hAnsi="Arial" w:cs="Arial"/>
                <w:sz w:val="18"/>
                <w:szCs w:val="18"/>
              </w:rPr>
              <w:t>(15 %)</w:t>
            </w:r>
          </w:p>
        </w:tc>
        <w:tc>
          <w:tcPr>
            <w:tcW w:w="1759" w:type="dxa"/>
            <w:tcBorders>
              <w:right w:val="single" w:sz="12" w:space="0" w:color="auto"/>
            </w:tcBorders>
            <w:vAlign w:val="center"/>
          </w:tcPr>
          <w:p w:rsidR="00957C6F" w:rsidRPr="006E666E" w:rsidRDefault="00957C6F" w:rsidP="0097339F">
            <w:pPr>
              <w:jc w:val="center"/>
              <w:rPr>
                <w:rFonts w:ascii="Arial" w:eastAsia="Calibri" w:hAnsi="Arial" w:cs="Arial"/>
                <w:sz w:val="18"/>
                <w:szCs w:val="18"/>
              </w:rPr>
            </w:pPr>
            <w:r>
              <w:rPr>
                <w:rFonts w:ascii="Arial" w:eastAsia="Calibri" w:hAnsi="Arial" w:cs="Arial"/>
                <w:sz w:val="18"/>
                <w:szCs w:val="18"/>
              </w:rPr>
              <w:t>13</w:t>
            </w:r>
          </w:p>
          <w:p w:rsidR="00957C6F" w:rsidRPr="006E666E" w:rsidRDefault="00957C6F" w:rsidP="0097339F">
            <w:pPr>
              <w:jc w:val="center"/>
              <w:rPr>
                <w:rFonts w:ascii="Arial" w:eastAsia="Calibri" w:hAnsi="Arial" w:cs="Arial"/>
                <w:sz w:val="18"/>
                <w:szCs w:val="18"/>
              </w:rPr>
            </w:pPr>
            <w:r w:rsidRPr="006E666E">
              <w:rPr>
                <w:rFonts w:ascii="Arial" w:eastAsia="Calibri" w:hAnsi="Arial" w:cs="Arial"/>
                <w:sz w:val="18"/>
                <w:szCs w:val="18"/>
              </w:rPr>
              <w:t>(</w:t>
            </w:r>
            <w:r>
              <w:rPr>
                <w:rFonts w:ascii="Arial" w:eastAsia="Calibri" w:hAnsi="Arial" w:cs="Arial"/>
                <w:sz w:val="18"/>
                <w:szCs w:val="18"/>
              </w:rPr>
              <w:t>7,2</w:t>
            </w:r>
            <w:r w:rsidRPr="006E666E">
              <w:rPr>
                <w:rFonts w:ascii="Arial" w:eastAsia="Calibri" w:hAnsi="Arial" w:cs="Arial"/>
                <w:sz w:val="18"/>
                <w:szCs w:val="18"/>
              </w:rPr>
              <w:t xml:space="preserve"> %)</w:t>
            </w:r>
          </w:p>
        </w:tc>
      </w:tr>
      <w:tr w:rsidR="00957C6F" w:rsidRPr="006E666E" w:rsidTr="0097339F">
        <w:trPr>
          <w:trHeight w:val="709"/>
        </w:trPr>
        <w:tc>
          <w:tcPr>
            <w:tcW w:w="1846" w:type="dxa"/>
            <w:tcBorders>
              <w:left w:val="single" w:sz="12" w:space="0" w:color="auto"/>
              <w:right w:val="single" w:sz="12" w:space="0" w:color="auto"/>
            </w:tcBorders>
            <w:vAlign w:val="center"/>
          </w:tcPr>
          <w:p w:rsidR="00957C6F" w:rsidRPr="006E666E" w:rsidRDefault="00957C6F" w:rsidP="0097339F">
            <w:pPr>
              <w:jc w:val="left"/>
              <w:rPr>
                <w:rFonts w:eastAsia="Calibri" w:cs="Times New Roman"/>
              </w:rPr>
            </w:pPr>
            <w:r w:rsidRPr="006E666E">
              <w:rPr>
                <w:rFonts w:eastAsia="Calibri" w:cs="Times New Roman"/>
              </w:rPr>
              <w:t>Söröző</w:t>
            </w:r>
          </w:p>
        </w:tc>
        <w:tc>
          <w:tcPr>
            <w:tcW w:w="881" w:type="dxa"/>
            <w:tcBorders>
              <w:left w:val="single" w:sz="12" w:space="0" w:color="auto"/>
              <w:right w:val="single" w:sz="12" w:space="0" w:color="auto"/>
            </w:tcBorders>
            <w:vAlign w:val="center"/>
          </w:tcPr>
          <w:p w:rsidR="00957C6F" w:rsidRDefault="00957C6F" w:rsidP="0097339F">
            <w:pPr>
              <w:jc w:val="center"/>
              <w:rPr>
                <w:rFonts w:ascii="Arial" w:eastAsia="Calibri" w:hAnsi="Arial" w:cs="Arial"/>
                <w:sz w:val="18"/>
                <w:szCs w:val="18"/>
              </w:rPr>
            </w:pPr>
            <w:r>
              <w:rPr>
                <w:rFonts w:ascii="Arial" w:eastAsia="Calibri" w:hAnsi="Arial" w:cs="Arial"/>
                <w:sz w:val="18"/>
                <w:szCs w:val="18"/>
              </w:rPr>
              <w:t>520</w:t>
            </w:r>
          </w:p>
        </w:tc>
        <w:tc>
          <w:tcPr>
            <w:tcW w:w="1356" w:type="dxa"/>
            <w:tcBorders>
              <w:left w:val="single" w:sz="12" w:space="0" w:color="auto"/>
              <w:right w:val="single" w:sz="12" w:space="0" w:color="auto"/>
            </w:tcBorders>
            <w:vAlign w:val="center"/>
          </w:tcPr>
          <w:p w:rsidR="00957C6F" w:rsidRPr="006E666E" w:rsidRDefault="00957C6F" w:rsidP="0097339F">
            <w:pPr>
              <w:jc w:val="center"/>
              <w:rPr>
                <w:rFonts w:ascii="Arial" w:eastAsia="Calibri" w:hAnsi="Arial" w:cs="Arial"/>
                <w:sz w:val="18"/>
                <w:szCs w:val="18"/>
              </w:rPr>
            </w:pPr>
            <w:r>
              <w:rPr>
                <w:rFonts w:ascii="Arial" w:eastAsia="Calibri" w:hAnsi="Arial" w:cs="Arial"/>
                <w:sz w:val="18"/>
                <w:szCs w:val="18"/>
              </w:rPr>
              <w:t>515</w:t>
            </w:r>
          </w:p>
        </w:tc>
        <w:tc>
          <w:tcPr>
            <w:tcW w:w="1723" w:type="dxa"/>
            <w:tcBorders>
              <w:left w:val="single" w:sz="12" w:space="0" w:color="auto"/>
            </w:tcBorders>
            <w:vAlign w:val="center"/>
          </w:tcPr>
          <w:p w:rsidR="00957C6F" w:rsidRPr="006E666E" w:rsidRDefault="00957C6F" w:rsidP="0097339F">
            <w:pPr>
              <w:jc w:val="center"/>
              <w:rPr>
                <w:rFonts w:ascii="Arial" w:eastAsia="Calibri" w:hAnsi="Arial" w:cs="Arial"/>
                <w:sz w:val="18"/>
                <w:szCs w:val="18"/>
              </w:rPr>
            </w:pPr>
            <w:r>
              <w:rPr>
                <w:rFonts w:ascii="Arial" w:eastAsia="Calibri" w:hAnsi="Arial" w:cs="Arial"/>
                <w:sz w:val="18"/>
                <w:szCs w:val="18"/>
              </w:rPr>
              <w:t>430</w:t>
            </w:r>
          </w:p>
          <w:p w:rsidR="00957C6F" w:rsidRPr="006E666E" w:rsidRDefault="00957C6F" w:rsidP="0097339F">
            <w:pPr>
              <w:jc w:val="center"/>
              <w:rPr>
                <w:rFonts w:ascii="Arial" w:eastAsia="Calibri" w:hAnsi="Arial" w:cs="Arial"/>
                <w:sz w:val="18"/>
                <w:szCs w:val="18"/>
              </w:rPr>
            </w:pPr>
            <w:r w:rsidRPr="006E666E">
              <w:rPr>
                <w:rFonts w:ascii="Arial" w:eastAsia="Calibri" w:hAnsi="Arial" w:cs="Arial"/>
                <w:sz w:val="18"/>
                <w:szCs w:val="18"/>
              </w:rPr>
              <w:t>(</w:t>
            </w:r>
            <w:r>
              <w:rPr>
                <w:rFonts w:ascii="Arial" w:eastAsia="Calibri" w:hAnsi="Arial" w:cs="Arial"/>
                <w:sz w:val="18"/>
                <w:szCs w:val="18"/>
              </w:rPr>
              <w:t>83,4</w:t>
            </w:r>
            <w:r w:rsidRPr="006E666E">
              <w:rPr>
                <w:rFonts w:ascii="Arial" w:eastAsia="Calibri" w:hAnsi="Arial" w:cs="Arial"/>
                <w:sz w:val="18"/>
                <w:szCs w:val="18"/>
              </w:rPr>
              <w:t xml:space="preserve"> %)</w:t>
            </w:r>
          </w:p>
        </w:tc>
        <w:tc>
          <w:tcPr>
            <w:tcW w:w="1723" w:type="dxa"/>
            <w:vAlign w:val="center"/>
          </w:tcPr>
          <w:p w:rsidR="00957C6F" w:rsidRPr="006E666E" w:rsidRDefault="00957C6F" w:rsidP="0097339F">
            <w:pPr>
              <w:jc w:val="center"/>
              <w:rPr>
                <w:rFonts w:ascii="Arial" w:eastAsia="Calibri" w:hAnsi="Arial" w:cs="Arial"/>
                <w:sz w:val="18"/>
                <w:szCs w:val="18"/>
              </w:rPr>
            </w:pPr>
            <w:r>
              <w:rPr>
                <w:rFonts w:ascii="Arial" w:eastAsia="Calibri" w:hAnsi="Arial" w:cs="Arial"/>
                <w:sz w:val="18"/>
                <w:szCs w:val="18"/>
              </w:rPr>
              <w:t>71</w:t>
            </w:r>
          </w:p>
          <w:p w:rsidR="00957C6F" w:rsidRPr="006E666E" w:rsidRDefault="00957C6F" w:rsidP="0097339F">
            <w:pPr>
              <w:jc w:val="center"/>
              <w:rPr>
                <w:rFonts w:ascii="Arial" w:eastAsia="Calibri" w:hAnsi="Arial" w:cs="Arial"/>
                <w:sz w:val="18"/>
                <w:szCs w:val="18"/>
              </w:rPr>
            </w:pPr>
            <w:r w:rsidRPr="006E666E">
              <w:rPr>
                <w:rFonts w:ascii="Arial" w:eastAsia="Calibri" w:hAnsi="Arial" w:cs="Arial"/>
                <w:sz w:val="18"/>
                <w:szCs w:val="18"/>
              </w:rPr>
              <w:t>(</w:t>
            </w:r>
            <w:r>
              <w:rPr>
                <w:rFonts w:ascii="Arial" w:eastAsia="Calibri" w:hAnsi="Arial" w:cs="Arial"/>
                <w:sz w:val="18"/>
                <w:szCs w:val="18"/>
              </w:rPr>
              <w:t>13,7</w:t>
            </w:r>
            <w:r w:rsidRPr="006E666E">
              <w:rPr>
                <w:rFonts w:ascii="Arial" w:eastAsia="Calibri" w:hAnsi="Arial" w:cs="Arial"/>
                <w:sz w:val="18"/>
                <w:szCs w:val="18"/>
              </w:rPr>
              <w:t xml:space="preserve"> %)</w:t>
            </w:r>
          </w:p>
        </w:tc>
        <w:tc>
          <w:tcPr>
            <w:tcW w:w="1759" w:type="dxa"/>
            <w:tcBorders>
              <w:right w:val="single" w:sz="12" w:space="0" w:color="auto"/>
            </w:tcBorders>
            <w:vAlign w:val="center"/>
          </w:tcPr>
          <w:p w:rsidR="00957C6F" w:rsidRPr="006E666E" w:rsidRDefault="00957C6F" w:rsidP="0097339F">
            <w:pPr>
              <w:jc w:val="center"/>
              <w:rPr>
                <w:rFonts w:ascii="Arial" w:eastAsia="Calibri" w:hAnsi="Arial" w:cs="Arial"/>
                <w:sz w:val="18"/>
                <w:szCs w:val="18"/>
              </w:rPr>
            </w:pPr>
            <w:r>
              <w:rPr>
                <w:rFonts w:ascii="Arial" w:eastAsia="Calibri" w:hAnsi="Arial" w:cs="Arial"/>
                <w:sz w:val="18"/>
                <w:szCs w:val="18"/>
              </w:rPr>
              <w:t>14</w:t>
            </w:r>
          </w:p>
          <w:p w:rsidR="00957C6F" w:rsidRPr="006E666E" w:rsidRDefault="00957C6F" w:rsidP="0097339F">
            <w:pPr>
              <w:jc w:val="center"/>
              <w:rPr>
                <w:rFonts w:ascii="Arial" w:eastAsia="Calibri" w:hAnsi="Arial" w:cs="Arial"/>
                <w:sz w:val="18"/>
                <w:szCs w:val="18"/>
              </w:rPr>
            </w:pPr>
            <w:r w:rsidRPr="006E666E">
              <w:rPr>
                <w:rFonts w:ascii="Arial" w:eastAsia="Calibri" w:hAnsi="Arial" w:cs="Arial"/>
                <w:sz w:val="18"/>
                <w:szCs w:val="18"/>
              </w:rPr>
              <w:t>(</w:t>
            </w:r>
            <w:r>
              <w:rPr>
                <w:rFonts w:ascii="Arial" w:eastAsia="Calibri" w:hAnsi="Arial" w:cs="Arial"/>
                <w:sz w:val="18"/>
                <w:szCs w:val="18"/>
              </w:rPr>
              <w:t>2,7</w:t>
            </w:r>
            <w:r w:rsidRPr="006E666E">
              <w:rPr>
                <w:rFonts w:ascii="Arial" w:eastAsia="Calibri" w:hAnsi="Arial" w:cs="Arial"/>
                <w:sz w:val="18"/>
                <w:szCs w:val="18"/>
              </w:rPr>
              <w:t xml:space="preserve"> %)</w:t>
            </w:r>
          </w:p>
        </w:tc>
      </w:tr>
      <w:tr w:rsidR="00957C6F" w:rsidRPr="006E666E" w:rsidTr="0097339F">
        <w:trPr>
          <w:trHeight w:val="669"/>
        </w:trPr>
        <w:tc>
          <w:tcPr>
            <w:tcW w:w="1846" w:type="dxa"/>
            <w:tcBorders>
              <w:left w:val="single" w:sz="12" w:space="0" w:color="auto"/>
              <w:bottom w:val="single" w:sz="12" w:space="0" w:color="auto"/>
              <w:right w:val="single" w:sz="12" w:space="0" w:color="auto"/>
            </w:tcBorders>
            <w:vAlign w:val="center"/>
          </w:tcPr>
          <w:p w:rsidR="00957C6F" w:rsidRPr="006E666E" w:rsidRDefault="00957C6F" w:rsidP="0097339F">
            <w:pPr>
              <w:jc w:val="left"/>
              <w:rPr>
                <w:rFonts w:eastAsia="Calibri" w:cs="Times New Roman"/>
              </w:rPr>
            </w:pPr>
            <w:r w:rsidRPr="006E666E">
              <w:rPr>
                <w:rFonts w:eastAsia="Calibri" w:cs="Times New Roman"/>
              </w:rPr>
              <w:t>Egyéb vendéglátó</w:t>
            </w:r>
          </w:p>
        </w:tc>
        <w:tc>
          <w:tcPr>
            <w:tcW w:w="881" w:type="dxa"/>
            <w:tcBorders>
              <w:left w:val="single" w:sz="12" w:space="0" w:color="auto"/>
              <w:bottom w:val="single" w:sz="12" w:space="0" w:color="auto"/>
              <w:right w:val="single" w:sz="12" w:space="0" w:color="auto"/>
            </w:tcBorders>
            <w:vAlign w:val="center"/>
          </w:tcPr>
          <w:p w:rsidR="00957C6F" w:rsidRDefault="00957C6F" w:rsidP="0097339F">
            <w:pPr>
              <w:jc w:val="center"/>
              <w:rPr>
                <w:rFonts w:ascii="Arial" w:eastAsia="Calibri" w:hAnsi="Arial" w:cs="Arial"/>
                <w:sz w:val="18"/>
                <w:szCs w:val="18"/>
              </w:rPr>
            </w:pPr>
            <w:r>
              <w:rPr>
                <w:rFonts w:ascii="Arial" w:eastAsia="Calibri" w:hAnsi="Arial" w:cs="Arial"/>
                <w:sz w:val="18"/>
                <w:szCs w:val="18"/>
              </w:rPr>
              <w:t>618</w:t>
            </w:r>
          </w:p>
        </w:tc>
        <w:tc>
          <w:tcPr>
            <w:tcW w:w="1356" w:type="dxa"/>
            <w:tcBorders>
              <w:left w:val="single" w:sz="12" w:space="0" w:color="auto"/>
              <w:bottom w:val="single" w:sz="12" w:space="0" w:color="auto"/>
              <w:right w:val="single" w:sz="12" w:space="0" w:color="auto"/>
            </w:tcBorders>
            <w:vAlign w:val="center"/>
          </w:tcPr>
          <w:p w:rsidR="00957C6F" w:rsidRPr="006E666E" w:rsidRDefault="00957C6F" w:rsidP="0097339F">
            <w:pPr>
              <w:jc w:val="center"/>
              <w:rPr>
                <w:rFonts w:ascii="Arial" w:eastAsia="Calibri" w:hAnsi="Arial" w:cs="Arial"/>
                <w:sz w:val="18"/>
                <w:szCs w:val="18"/>
              </w:rPr>
            </w:pPr>
            <w:r>
              <w:rPr>
                <w:rFonts w:ascii="Arial" w:eastAsia="Calibri" w:hAnsi="Arial" w:cs="Arial"/>
                <w:sz w:val="18"/>
                <w:szCs w:val="18"/>
              </w:rPr>
              <w:t>609</w:t>
            </w:r>
          </w:p>
        </w:tc>
        <w:tc>
          <w:tcPr>
            <w:tcW w:w="1723" w:type="dxa"/>
            <w:tcBorders>
              <w:left w:val="single" w:sz="12" w:space="0" w:color="auto"/>
              <w:bottom w:val="single" w:sz="12" w:space="0" w:color="auto"/>
            </w:tcBorders>
            <w:vAlign w:val="center"/>
          </w:tcPr>
          <w:p w:rsidR="00957C6F" w:rsidRPr="006E666E" w:rsidRDefault="00957C6F" w:rsidP="0097339F">
            <w:pPr>
              <w:jc w:val="center"/>
              <w:rPr>
                <w:rFonts w:ascii="Arial" w:eastAsia="Calibri" w:hAnsi="Arial" w:cs="Arial"/>
                <w:sz w:val="18"/>
                <w:szCs w:val="18"/>
              </w:rPr>
            </w:pPr>
            <w:r>
              <w:rPr>
                <w:rFonts w:ascii="Arial" w:eastAsia="Calibri" w:hAnsi="Arial" w:cs="Arial"/>
                <w:sz w:val="18"/>
                <w:szCs w:val="18"/>
              </w:rPr>
              <w:t>528</w:t>
            </w:r>
          </w:p>
          <w:p w:rsidR="00957C6F" w:rsidRDefault="00957C6F" w:rsidP="0097339F">
            <w:pPr>
              <w:jc w:val="center"/>
              <w:rPr>
                <w:rFonts w:ascii="Arial" w:eastAsia="Calibri" w:hAnsi="Arial" w:cs="Arial"/>
                <w:sz w:val="18"/>
                <w:szCs w:val="18"/>
              </w:rPr>
            </w:pPr>
            <w:r w:rsidRPr="006E666E">
              <w:rPr>
                <w:rFonts w:ascii="Arial" w:eastAsia="Calibri" w:hAnsi="Arial" w:cs="Arial"/>
                <w:sz w:val="18"/>
                <w:szCs w:val="18"/>
              </w:rPr>
              <w:t>(</w:t>
            </w:r>
            <w:r>
              <w:rPr>
                <w:rFonts w:ascii="Arial" w:eastAsia="Calibri" w:hAnsi="Arial" w:cs="Arial"/>
                <w:sz w:val="18"/>
                <w:szCs w:val="18"/>
              </w:rPr>
              <w:t>86,6</w:t>
            </w:r>
          </w:p>
          <w:p w:rsidR="00957C6F" w:rsidRPr="006E666E" w:rsidRDefault="00957C6F" w:rsidP="0097339F">
            <w:pPr>
              <w:jc w:val="center"/>
              <w:rPr>
                <w:rFonts w:ascii="Arial" w:eastAsia="Calibri" w:hAnsi="Arial" w:cs="Arial"/>
                <w:sz w:val="18"/>
                <w:szCs w:val="18"/>
              </w:rPr>
            </w:pPr>
            <w:r w:rsidRPr="006E666E">
              <w:rPr>
                <w:rFonts w:ascii="Arial" w:eastAsia="Calibri" w:hAnsi="Arial" w:cs="Arial"/>
                <w:sz w:val="18"/>
                <w:szCs w:val="18"/>
              </w:rPr>
              <w:t>%)</w:t>
            </w:r>
          </w:p>
        </w:tc>
        <w:tc>
          <w:tcPr>
            <w:tcW w:w="1723" w:type="dxa"/>
            <w:tcBorders>
              <w:bottom w:val="single" w:sz="12" w:space="0" w:color="auto"/>
            </w:tcBorders>
            <w:vAlign w:val="center"/>
          </w:tcPr>
          <w:p w:rsidR="00957C6F" w:rsidRPr="006E666E" w:rsidRDefault="00957C6F" w:rsidP="0097339F">
            <w:pPr>
              <w:jc w:val="center"/>
              <w:rPr>
                <w:rFonts w:ascii="Arial" w:eastAsia="Calibri" w:hAnsi="Arial" w:cs="Arial"/>
                <w:sz w:val="18"/>
                <w:szCs w:val="18"/>
              </w:rPr>
            </w:pPr>
            <w:r>
              <w:rPr>
                <w:rFonts w:ascii="Arial" w:eastAsia="Calibri" w:hAnsi="Arial" w:cs="Arial"/>
                <w:sz w:val="18"/>
                <w:szCs w:val="18"/>
              </w:rPr>
              <w:t>70</w:t>
            </w:r>
          </w:p>
          <w:p w:rsidR="00957C6F" w:rsidRPr="006E666E" w:rsidRDefault="00957C6F" w:rsidP="0097339F">
            <w:pPr>
              <w:jc w:val="center"/>
              <w:rPr>
                <w:rFonts w:ascii="Arial" w:eastAsia="Calibri" w:hAnsi="Arial" w:cs="Arial"/>
                <w:sz w:val="18"/>
                <w:szCs w:val="18"/>
              </w:rPr>
            </w:pPr>
            <w:r w:rsidRPr="006E666E">
              <w:rPr>
                <w:rFonts w:ascii="Arial" w:eastAsia="Calibri" w:hAnsi="Arial" w:cs="Arial"/>
                <w:sz w:val="18"/>
                <w:szCs w:val="18"/>
              </w:rPr>
              <w:t>(</w:t>
            </w:r>
            <w:r>
              <w:rPr>
                <w:rFonts w:ascii="Arial" w:eastAsia="Calibri" w:hAnsi="Arial" w:cs="Arial"/>
                <w:sz w:val="18"/>
                <w:szCs w:val="18"/>
              </w:rPr>
              <w:t>11,4</w:t>
            </w:r>
            <w:r w:rsidRPr="006E666E">
              <w:rPr>
                <w:rFonts w:ascii="Arial" w:eastAsia="Calibri" w:hAnsi="Arial" w:cs="Arial"/>
                <w:sz w:val="18"/>
                <w:szCs w:val="18"/>
              </w:rPr>
              <w:t xml:space="preserve"> %)</w:t>
            </w:r>
          </w:p>
        </w:tc>
        <w:tc>
          <w:tcPr>
            <w:tcW w:w="1759" w:type="dxa"/>
            <w:tcBorders>
              <w:bottom w:val="single" w:sz="12" w:space="0" w:color="auto"/>
              <w:right w:val="single" w:sz="12" w:space="0" w:color="auto"/>
            </w:tcBorders>
            <w:vAlign w:val="center"/>
          </w:tcPr>
          <w:p w:rsidR="00957C6F" w:rsidRPr="006E666E" w:rsidRDefault="00957C6F" w:rsidP="0097339F">
            <w:pPr>
              <w:jc w:val="center"/>
              <w:rPr>
                <w:rFonts w:ascii="Arial" w:eastAsia="Calibri" w:hAnsi="Arial" w:cs="Arial"/>
                <w:sz w:val="18"/>
                <w:szCs w:val="18"/>
              </w:rPr>
            </w:pPr>
            <w:r>
              <w:rPr>
                <w:rFonts w:ascii="Arial" w:eastAsia="Calibri" w:hAnsi="Arial" w:cs="Arial"/>
                <w:sz w:val="18"/>
                <w:szCs w:val="18"/>
              </w:rPr>
              <w:t>11</w:t>
            </w:r>
          </w:p>
          <w:p w:rsidR="00957C6F" w:rsidRPr="006E666E" w:rsidRDefault="00957C6F" w:rsidP="0097339F">
            <w:pPr>
              <w:jc w:val="center"/>
              <w:rPr>
                <w:rFonts w:ascii="Arial" w:eastAsia="Calibri" w:hAnsi="Arial" w:cs="Arial"/>
                <w:sz w:val="18"/>
                <w:szCs w:val="18"/>
              </w:rPr>
            </w:pPr>
            <w:r w:rsidRPr="006E666E">
              <w:rPr>
                <w:rFonts w:ascii="Arial" w:eastAsia="Calibri" w:hAnsi="Arial" w:cs="Arial"/>
                <w:sz w:val="18"/>
                <w:szCs w:val="18"/>
              </w:rPr>
              <w:t>(</w:t>
            </w:r>
            <w:r>
              <w:rPr>
                <w:rFonts w:ascii="Arial" w:eastAsia="Calibri" w:hAnsi="Arial" w:cs="Arial"/>
                <w:sz w:val="18"/>
                <w:szCs w:val="18"/>
              </w:rPr>
              <w:t>1,8</w:t>
            </w:r>
            <w:r w:rsidRPr="006E666E">
              <w:rPr>
                <w:rFonts w:ascii="Arial" w:eastAsia="Calibri" w:hAnsi="Arial" w:cs="Arial"/>
                <w:sz w:val="18"/>
                <w:szCs w:val="18"/>
              </w:rPr>
              <w:t xml:space="preserve"> %)</w:t>
            </w:r>
          </w:p>
        </w:tc>
      </w:tr>
      <w:tr w:rsidR="00957C6F" w:rsidRPr="00DD3A0D" w:rsidTr="0097339F">
        <w:trPr>
          <w:trHeight w:val="681"/>
        </w:trPr>
        <w:tc>
          <w:tcPr>
            <w:tcW w:w="1846" w:type="dxa"/>
            <w:tcBorders>
              <w:top w:val="single" w:sz="12" w:space="0" w:color="auto"/>
              <w:left w:val="single" w:sz="12" w:space="0" w:color="auto"/>
              <w:bottom w:val="single" w:sz="12" w:space="0" w:color="auto"/>
              <w:right w:val="single" w:sz="12" w:space="0" w:color="auto"/>
            </w:tcBorders>
            <w:vAlign w:val="center"/>
          </w:tcPr>
          <w:p w:rsidR="00957C6F" w:rsidRPr="00DD3A0D" w:rsidRDefault="00957C6F" w:rsidP="0097339F">
            <w:pPr>
              <w:jc w:val="center"/>
              <w:rPr>
                <w:rFonts w:eastAsia="Calibri" w:cs="Times New Roman"/>
                <w:b/>
              </w:rPr>
            </w:pPr>
            <w:r w:rsidRPr="00DD3A0D">
              <w:rPr>
                <w:rFonts w:eastAsia="Calibri" w:cs="Times New Roman"/>
                <w:b/>
              </w:rPr>
              <w:t>Összesen</w:t>
            </w:r>
          </w:p>
        </w:tc>
        <w:tc>
          <w:tcPr>
            <w:tcW w:w="881" w:type="dxa"/>
            <w:tcBorders>
              <w:top w:val="single" w:sz="12" w:space="0" w:color="auto"/>
              <w:left w:val="single" w:sz="12" w:space="0" w:color="auto"/>
              <w:bottom w:val="single" w:sz="12" w:space="0" w:color="auto"/>
              <w:right w:val="single" w:sz="12" w:space="0" w:color="auto"/>
            </w:tcBorders>
            <w:vAlign w:val="center"/>
          </w:tcPr>
          <w:p w:rsidR="00957C6F" w:rsidRPr="00DD3A0D" w:rsidRDefault="00957C6F" w:rsidP="0097339F">
            <w:pPr>
              <w:jc w:val="center"/>
              <w:rPr>
                <w:rFonts w:ascii="Arial" w:eastAsia="Calibri" w:hAnsi="Arial" w:cs="Arial"/>
                <w:b/>
                <w:sz w:val="18"/>
                <w:szCs w:val="18"/>
              </w:rPr>
            </w:pPr>
            <w:r w:rsidRPr="00DD3A0D">
              <w:rPr>
                <w:rFonts w:ascii="Arial" w:eastAsia="Calibri" w:hAnsi="Arial" w:cs="Arial"/>
                <w:b/>
                <w:sz w:val="18"/>
                <w:szCs w:val="18"/>
              </w:rPr>
              <w:t>4077</w:t>
            </w:r>
          </w:p>
        </w:tc>
        <w:tc>
          <w:tcPr>
            <w:tcW w:w="1356" w:type="dxa"/>
            <w:tcBorders>
              <w:top w:val="single" w:sz="12" w:space="0" w:color="auto"/>
              <w:left w:val="single" w:sz="12" w:space="0" w:color="auto"/>
              <w:bottom w:val="single" w:sz="12" w:space="0" w:color="auto"/>
              <w:right w:val="single" w:sz="12" w:space="0" w:color="auto"/>
            </w:tcBorders>
            <w:vAlign w:val="center"/>
          </w:tcPr>
          <w:p w:rsidR="00957C6F" w:rsidRPr="00DD3A0D" w:rsidRDefault="00957C6F" w:rsidP="0097339F">
            <w:pPr>
              <w:jc w:val="center"/>
              <w:rPr>
                <w:rFonts w:ascii="Arial" w:eastAsia="Calibri" w:hAnsi="Arial" w:cs="Arial"/>
                <w:b/>
                <w:sz w:val="18"/>
                <w:szCs w:val="18"/>
              </w:rPr>
            </w:pPr>
            <w:r w:rsidRPr="00DD3A0D">
              <w:rPr>
                <w:rFonts w:ascii="Arial" w:eastAsia="Calibri" w:hAnsi="Arial" w:cs="Arial"/>
                <w:b/>
                <w:sz w:val="18"/>
                <w:szCs w:val="18"/>
              </w:rPr>
              <w:t>4027</w:t>
            </w:r>
          </w:p>
        </w:tc>
        <w:tc>
          <w:tcPr>
            <w:tcW w:w="1723" w:type="dxa"/>
            <w:tcBorders>
              <w:top w:val="single" w:sz="12" w:space="0" w:color="auto"/>
              <w:left w:val="single" w:sz="12" w:space="0" w:color="auto"/>
              <w:bottom w:val="single" w:sz="12" w:space="0" w:color="auto"/>
            </w:tcBorders>
            <w:vAlign w:val="center"/>
          </w:tcPr>
          <w:p w:rsidR="00957C6F" w:rsidRPr="00DD3A0D" w:rsidRDefault="00957C6F" w:rsidP="0097339F">
            <w:pPr>
              <w:jc w:val="center"/>
              <w:rPr>
                <w:rFonts w:ascii="Arial" w:eastAsia="Calibri" w:hAnsi="Arial" w:cs="Arial"/>
                <w:b/>
                <w:sz w:val="18"/>
                <w:szCs w:val="18"/>
              </w:rPr>
            </w:pPr>
            <w:r w:rsidRPr="00DD3A0D">
              <w:rPr>
                <w:rFonts w:ascii="Arial" w:eastAsia="Calibri" w:hAnsi="Arial" w:cs="Arial"/>
                <w:b/>
                <w:sz w:val="18"/>
                <w:szCs w:val="18"/>
              </w:rPr>
              <w:t>3283</w:t>
            </w:r>
          </w:p>
          <w:p w:rsidR="00957C6F" w:rsidRPr="00DD3A0D" w:rsidRDefault="00957C6F" w:rsidP="0097339F">
            <w:pPr>
              <w:jc w:val="center"/>
              <w:rPr>
                <w:rFonts w:ascii="Arial" w:eastAsia="Calibri" w:hAnsi="Arial" w:cs="Arial"/>
                <w:b/>
                <w:sz w:val="18"/>
                <w:szCs w:val="18"/>
              </w:rPr>
            </w:pPr>
            <w:r w:rsidRPr="00DD3A0D">
              <w:rPr>
                <w:rFonts w:ascii="Arial" w:eastAsia="Calibri" w:hAnsi="Arial" w:cs="Arial"/>
                <w:b/>
                <w:sz w:val="18"/>
                <w:szCs w:val="18"/>
              </w:rPr>
              <w:t>(81,5%)</w:t>
            </w:r>
          </w:p>
        </w:tc>
        <w:tc>
          <w:tcPr>
            <w:tcW w:w="1723" w:type="dxa"/>
            <w:tcBorders>
              <w:top w:val="single" w:sz="12" w:space="0" w:color="auto"/>
              <w:bottom w:val="single" w:sz="12" w:space="0" w:color="auto"/>
            </w:tcBorders>
            <w:vAlign w:val="center"/>
          </w:tcPr>
          <w:p w:rsidR="00957C6F" w:rsidRPr="00DD3A0D" w:rsidRDefault="00957C6F" w:rsidP="0097339F">
            <w:pPr>
              <w:jc w:val="center"/>
              <w:rPr>
                <w:rFonts w:ascii="Arial" w:eastAsia="Calibri" w:hAnsi="Arial" w:cs="Arial"/>
                <w:b/>
                <w:sz w:val="18"/>
                <w:szCs w:val="18"/>
              </w:rPr>
            </w:pPr>
            <w:r w:rsidRPr="00DD3A0D">
              <w:rPr>
                <w:rFonts w:ascii="Arial" w:eastAsia="Calibri" w:hAnsi="Arial" w:cs="Arial"/>
                <w:b/>
                <w:sz w:val="18"/>
                <w:szCs w:val="18"/>
              </w:rPr>
              <w:t>583</w:t>
            </w:r>
          </w:p>
          <w:p w:rsidR="00957C6F" w:rsidRPr="00DD3A0D" w:rsidRDefault="00957C6F" w:rsidP="0097339F">
            <w:pPr>
              <w:jc w:val="center"/>
              <w:rPr>
                <w:rFonts w:ascii="Arial" w:eastAsia="Calibri" w:hAnsi="Arial" w:cs="Arial"/>
                <w:b/>
                <w:sz w:val="18"/>
                <w:szCs w:val="18"/>
              </w:rPr>
            </w:pPr>
            <w:r w:rsidRPr="00DD3A0D">
              <w:rPr>
                <w:rFonts w:ascii="Arial" w:eastAsia="Calibri" w:hAnsi="Arial" w:cs="Arial"/>
                <w:b/>
                <w:sz w:val="18"/>
                <w:szCs w:val="18"/>
              </w:rPr>
              <w:t>(14,5 %)</w:t>
            </w:r>
          </w:p>
        </w:tc>
        <w:tc>
          <w:tcPr>
            <w:tcW w:w="1759" w:type="dxa"/>
            <w:tcBorders>
              <w:top w:val="single" w:sz="12" w:space="0" w:color="auto"/>
              <w:bottom w:val="single" w:sz="12" w:space="0" w:color="auto"/>
              <w:right w:val="single" w:sz="12" w:space="0" w:color="auto"/>
            </w:tcBorders>
            <w:vAlign w:val="center"/>
          </w:tcPr>
          <w:p w:rsidR="00957C6F" w:rsidRPr="00DD3A0D" w:rsidRDefault="00957C6F" w:rsidP="0097339F">
            <w:pPr>
              <w:jc w:val="center"/>
              <w:rPr>
                <w:rFonts w:ascii="Arial" w:eastAsia="Calibri" w:hAnsi="Arial" w:cs="Arial"/>
                <w:b/>
                <w:sz w:val="18"/>
                <w:szCs w:val="18"/>
              </w:rPr>
            </w:pPr>
            <w:r w:rsidRPr="00DD3A0D">
              <w:rPr>
                <w:rFonts w:ascii="Arial" w:eastAsia="Calibri" w:hAnsi="Arial" w:cs="Arial"/>
                <w:b/>
                <w:sz w:val="18"/>
                <w:szCs w:val="18"/>
              </w:rPr>
              <w:t>161</w:t>
            </w:r>
          </w:p>
          <w:p w:rsidR="00957C6F" w:rsidRPr="00DD3A0D" w:rsidRDefault="00957C6F" w:rsidP="0097339F">
            <w:pPr>
              <w:jc w:val="center"/>
              <w:rPr>
                <w:rFonts w:ascii="Arial" w:eastAsia="Calibri" w:hAnsi="Arial" w:cs="Arial"/>
                <w:b/>
                <w:sz w:val="18"/>
                <w:szCs w:val="18"/>
              </w:rPr>
            </w:pPr>
            <w:r w:rsidRPr="00DD3A0D">
              <w:rPr>
                <w:rFonts w:ascii="Arial" w:eastAsia="Calibri" w:hAnsi="Arial" w:cs="Arial"/>
                <w:b/>
                <w:sz w:val="18"/>
                <w:szCs w:val="18"/>
              </w:rPr>
              <w:t>(4%)</w:t>
            </w:r>
          </w:p>
        </w:tc>
      </w:tr>
    </w:tbl>
    <w:p w:rsidR="00957C6F" w:rsidRDefault="00957C6F" w:rsidP="00957C6F">
      <w:pPr>
        <w:rPr>
          <w:rFonts w:eastAsia="Calibri" w:cs="Times New Roman"/>
        </w:rPr>
      </w:pPr>
    </w:p>
    <w:p w:rsidR="00957C6F" w:rsidRDefault="00957C6F" w:rsidP="00957C6F">
      <w:pPr>
        <w:rPr>
          <w:rFonts w:eastAsia="Calibri" w:cs="Times New Roman"/>
        </w:rPr>
      </w:pPr>
    </w:p>
    <w:p w:rsidR="00957C6F" w:rsidRDefault="00957C6F" w:rsidP="00957C6F">
      <w:pPr>
        <w:rPr>
          <w:rFonts w:eastAsia="Calibri" w:cs="Times New Roman"/>
        </w:rPr>
      </w:pPr>
      <w:r>
        <w:rPr>
          <w:rFonts w:eastAsia="Calibri" w:cs="Times New Roman"/>
        </w:rPr>
        <w:t xml:space="preserve">Legkedvezőbb képet az egyéb vendéglátók ellenőrzése adta, de hasonló arányban volt megfelelőség a cukrászdák, fagylaltozók esetében is. </w:t>
      </w:r>
    </w:p>
    <w:p w:rsidR="00957C6F" w:rsidRDefault="00957C6F" w:rsidP="00957C6F">
      <w:pPr>
        <w:rPr>
          <w:rFonts w:eastAsia="Calibri" w:cs="Times New Roman"/>
        </w:rPr>
      </w:pPr>
      <w:r>
        <w:rPr>
          <w:rFonts w:eastAsia="Calibri" w:cs="Times New Roman"/>
        </w:rPr>
        <w:t>A vizsgálati időszakban a vendéglátók ellenőrzésén feltárt „vezető”, leggyakoribb hiba-okok a műszaki feltétek nem megfelelősége (5,1 %), a HACCP rendszerek hibás, vagy hiányos működtetése (4,5 %) volt.</w:t>
      </w:r>
    </w:p>
    <w:p w:rsidR="00957C6F" w:rsidRDefault="00957C6F" w:rsidP="00957C6F">
      <w:pPr>
        <w:rPr>
          <w:rFonts w:eastAsia="Calibri" w:cs="Times New Roman"/>
        </w:rPr>
      </w:pPr>
      <w:r>
        <w:rPr>
          <w:rFonts w:eastAsia="Calibri" w:cs="Times New Roman"/>
        </w:rPr>
        <w:t>Továbbra is találtak az ellenőrök személyi higiénés szabálytalanságokat (3,9 %), a takarítás (3,5%) és a nyomonkövetést, származást igazoló dokumentumok (2,3%) nem megfelelősége is viszonylag nagy arányban kerültek feltárásra.</w:t>
      </w:r>
    </w:p>
    <w:p w:rsidR="00957C6F" w:rsidRDefault="00957C6F" w:rsidP="00957C6F">
      <w:pPr>
        <w:rPr>
          <w:rFonts w:eastAsia="Calibri" w:cs="Times New Roman"/>
        </w:rPr>
      </w:pPr>
      <w:r>
        <w:rPr>
          <w:rFonts w:eastAsia="Calibri" w:cs="Times New Roman"/>
        </w:rPr>
        <w:t>Megnyugtató, hogy a kánikula ellenére az élelmiszerek hűtésével kapcsolatos hiba csupán 54 helyen (1,3%) került megállapításra.</w:t>
      </w:r>
    </w:p>
    <w:p w:rsidR="00957C6F" w:rsidRDefault="00957C6F" w:rsidP="00957C6F">
      <w:pPr>
        <w:rPr>
          <w:rFonts w:eastAsia="Calibri" w:cs="Times New Roman"/>
        </w:rPr>
      </w:pPr>
    </w:p>
    <w:p w:rsidR="00957C6F" w:rsidRDefault="00957C6F" w:rsidP="00957C6F">
      <w:pPr>
        <w:rPr>
          <w:rFonts w:eastAsia="Calibri" w:cs="Times New Roman"/>
        </w:rPr>
      </w:pPr>
      <w:r>
        <w:rPr>
          <w:rFonts w:eastAsia="Calibri" w:cs="Times New Roman"/>
        </w:rPr>
        <w:t xml:space="preserve">Az ellenőrzéseken feltárt hibák miatt 114 alkalommal figyelmeztetés, 189 esetben </w:t>
      </w:r>
      <w:smartTag w:uri="urn:schemas-microsoft-com:office:smarttags" w:element="metricconverter">
        <w:smartTagPr>
          <w:attr w:name="ProductID" w:val="13.591.960 Ft"/>
        </w:smartTagPr>
        <w:r>
          <w:rPr>
            <w:rFonts w:eastAsia="Calibri" w:cs="Times New Roman"/>
          </w:rPr>
          <w:t>13.591.960 Ft</w:t>
        </w:r>
      </w:smartTag>
      <w:r>
        <w:rPr>
          <w:rFonts w:eastAsia="Calibri" w:cs="Times New Roman"/>
        </w:rPr>
        <w:t xml:space="preserve"> összértékben bírságolás történt. 367 helyszínen összesen </w:t>
      </w:r>
      <w:smartTag w:uri="urn:schemas-microsoft-com:office:smarttags" w:element="metricconverter">
        <w:smartTagPr>
          <w:attr w:name="ProductID" w:val="1383,39 kg"/>
        </w:smartTagPr>
        <w:r>
          <w:rPr>
            <w:rFonts w:eastAsia="Calibri" w:cs="Times New Roman"/>
          </w:rPr>
          <w:t>1383,39 kg</w:t>
        </w:r>
      </w:smartTag>
      <w:r>
        <w:rPr>
          <w:rFonts w:eastAsia="Calibri" w:cs="Times New Roman"/>
        </w:rPr>
        <w:t xml:space="preserve"> élelmiszert kellett forgalomból kivonni, melyek összértéke </w:t>
      </w:r>
      <w:smartTag w:uri="urn:schemas-microsoft-com:office:smarttags" w:element="metricconverter">
        <w:smartTagPr>
          <w:attr w:name="ProductID" w:val="1.486.168 Ft"/>
        </w:smartTagPr>
        <w:r>
          <w:rPr>
            <w:rFonts w:eastAsia="Calibri" w:cs="Times New Roman"/>
          </w:rPr>
          <w:t>1.486.168 Ft</w:t>
        </w:r>
      </w:smartTag>
      <w:r>
        <w:rPr>
          <w:rFonts w:eastAsia="Calibri" w:cs="Times New Roman"/>
        </w:rPr>
        <w:t xml:space="preserve"> volt.</w:t>
      </w:r>
    </w:p>
    <w:p w:rsidR="00957C6F" w:rsidRDefault="00957C6F" w:rsidP="00957C6F">
      <w:pPr>
        <w:rPr>
          <w:rFonts w:eastAsia="Calibri" w:cs="Times New Roman"/>
          <w:b/>
        </w:rPr>
      </w:pPr>
    </w:p>
    <w:p w:rsidR="00957C6F" w:rsidRDefault="00957C6F" w:rsidP="00957C6F">
      <w:pPr>
        <w:rPr>
          <w:rFonts w:eastAsia="Calibri" w:cs="Times New Roman"/>
          <w:b/>
        </w:rPr>
      </w:pPr>
    </w:p>
    <w:p w:rsidR="005C0D3B" w:rsidRDefault="005C0D3B" w:rsidP="00957C6F">
      <w:pPr>
        <w:rPr>
          <w:rFonts w:eastAsia="Calibri" w:cs="Times New Roman"/>
          <w:b/>
        </w:rPr>
      </w:pPr>
    </w:p>
    <w:p w:rsidR="005C0D3B" w:rsidRDefault="005C0D3B" w:rsidP="00957C6F">
      <w:pPr>
        <w:rPr>
          <w:rFonts w:eastAsia="Calibri" w:cs="Times New Roman"/>
          <w:b/>
        </w:rPr>
      </w:pPr>
    </w:p>
    <w:p w:rsidR="00957C6F" w:rsidRDefault="00957C6F" w:rsidP="00957C6F">
      <w:pPr>
        <w:rPr>
          <w:rFonts w:eastAsia="Calibri" w:cs="Times New Roman"/>
          <w:b/>
          <w:u w:val="single"/>
        </w:rPr>
      </w:pPr>
      <w:r>
        <w:rPr>
          <w:rFonts w:eastAsia="Calibri" w:cs="Times New Roman"/>
          <w:b/>
          <w:u w:val="single"/>
        </w:rPr>
        <w:lastRenderedPageBreak/>
        <w:t>Termékellenőrzések a vendéglátásban</w:t>
      </w:r>
    </w:p>
    <w:p w:rsidR="00957C6F" w:rsidRDefault="00957C6F" w:rsidP="00957C6F">
      <w:pPr>
        <w:rPr>
          <w:rFonts w:eastAsia="Calibri" w:cs="Times New Roman"/>
          <w:b/>
          <w:u w:val="single"/>
        </w:rPr>
      </w:pPr>
    </w:p>
    <w:p w:rsidR="00957C6F" w:rsidRPr="007A18D9" w:rsidRDefault="00957C6F" w:rsidP="00957C6F">
      <w:pPr>
        <w:rPr>
          <w:rFonts w:eastAsia="Calibri" w:cs="Times New Roman"/>
          <w:b/>
          <w:u w:val="single"/>
        </w:rPr>
      </w:pPr>
      <w:r>
        <w:rPr>
          <w:rFonts w:eastAsia="Calibri" w:cs="Times New Roman"/>
          <w:b/>
          <w:u w:val="single"/>
        </w:rPr>
        <w:t xml:space="preserve">1. </w:t>
      </w:r>
      <w:r w:rsidRPr="007A18D9">
        <w:rPr>
          <w:rFonts w:eastAsia="Calibri" w:cs="Times New Roman"/>
          <w:b/>
          <w:u w:val="single"/>
        </w:rPr>
        <w:t>Fagylalt célellenőrzés</w:t>
      </w:r>
      <w:r w:rsidRPr="00F37CC5">
        <w:rPr>
          <w:rFonts w:eastAsia="Calibri" w:cs="Times New Roman"/>
          <w:b/>
        </w:rPr>
        <w:t xml:space="preserve"> 06. 25 -29.</w:t>
      </w:r>
    </w:p>
    <w:p w:rsidR="00957C6F" w:rsidRDefault="00957C6F" w:rsidP="00957C6F">
      <w:pPr>
        <w:rPr>
          <w:rFonts w:eastAsia="Calibri" w:cs="Times New Roman"/>
        </w:rPr>
      </w:pPr>
    </w:p>
    <w:p w:rsidR="00957C6F" w:rsidRDefault="00957C6F" w:rsidP="00957C6F">
      <w:pPr>
        <w:rPr>
          <w:rFonts w:eastAsia="Calibri" w:cs="Times New Roman"/>
        </w:rPr>
      </w:pPr>
      <w:r>
        <w:rPr>
          <w:rFonts w:eastAsia="Calibri" w:cs="Times New Roman"/>
        </w:rPr>
        <w:t xml:space="preserve">Annak ellenére, hogy hazánkban évtizedek óta nem volt fagyalt mérgezés, a fagylalt, mint a nyári szezon magas kockázatú élelmiszere, kiemelt figyelmet kapott az idei szezonális ellenőrzésben és az egész ország területén megkezdődött a fagylaltot forgalmazó vendéglátóhelyek ellenőrzése.  2012. június 25-29 között Veszprém megyében (Balaton északi part), Fejér megyében (Velencei tó környéke), és Jász-Nagykun-Szolnok megyében (Tisza tó környéke), az ellenőrzések 41 helyszínen kiegészültek fagylaltok mintavételével.  </w:t>
      </w:r>
    </w:p>
    <w:p w:rsidR="00957C6F" w:rsidRDefault="00957C6F" w:rsidP="00957C6F">
      <w:pPr>
        <w:rPr>
          <w:rFonts w:eastAsia="Calibri" w:cs="Times New Roman"/>
        </w:rPr>
      </w:pPr>
    </w:p>
    <w:p w:rsidR="00957C6F" w:rsidRDefault="00957C6F" w:rsidP="00957C6F">
      <w:pPr>
        <w:rPr>
          <w:rFonts w:eastAsia="Calibri" w:cs="Times New Roman"/>
        </w:rPr>
      </w:pPr>
      <w:r>
        <w:rPr>
          <w:rFonts w:eastAsia="Calibri" w:cs="Times New Roman"/>
        </w:rPr>
        <w:t xml:space="preserve">Az összesen 100 db mintát a Nemzeti Referencia Laboratóriumokban vizsgálták, melyek zöme helyben készített fagylaltból származó minta volt. (Tejes alapú fagylalt 40 %, gyümölcs fagylalt 45 %, kanálöblítő víz 15 %). </w:t>
      </w:r>
    </w:p>
    <w:p w:rsidR="00957C6F" w:rsidRDefault="00957C6F" w:rsidP="00957C6F">
      <w:pPr>
        <w:rPr>
          <w:rFonts w:eastAsia="Calibri" w:cs="Times New Roman"/>
        </w:rPr>
      </w:pPr>
      <w:r>
        <w:rPr>
          <w:rFonts w:eastAsia="Calibri" w:cs="Times New Roman"/>
        </w:rPr>
        <w:t>555 vizsgálat történt mikrobiológiai és kémia irányban. Mikrobiológiai kifogásoltságot nem találtunk. A kémiai vizsgálatok során egy porfagylaltból készült fagylalt késztermék esetben a Magyar Élelmiszerkönyv 1-2-94-/36. számú előírásában megengedett színezék tartalmat 158%-al meghaladó színezék jelenlétet mutatott ki a laboratórium. A porfagylalt előállító felé a nyomon-követés és az eljárás a lelet kézhezvétele után azonnal megindult.</w:t>
      </w:r>
    </w:p>
    <w:p w:rsidR="00957C6F" w:rsidRDefault="00957C6F" w:rsidP="00957C6F">
      <w:pPr>
        <w:rPr>
          <w:rFonts w:eastAsia="Calibri" w:cs="Times New Roman"/>
        </w:rPr>
      </w:pPr>
      <w:r>
        <w:rPr>
          <w:rFonts w:eastAsia="Calibri" w:cs="Times New Roman"/>
        </w:rPr>
        <w:t>A hatóság a fagylaltot készítő vállalkozásnál ismételten ellenőrzést végzett, ahol a fagylaltkészítési technológia felülvizsgálata mellett további mintavételt végeztek az éppen forgalomban lévő görögdinnye fagylaltból és az alapanyagául szolgáló fagylaltporból is.</w:t>
      </w:r>
    </w:p>
    <w:p w:rsidR="00957C6F" w:rsidRDefault="00957C6F" w:rsidP="00957C6F">
      <w:pPr>
        <w:rPr>
          <w:rFonts w:eastAsia="Calibri" w:cs="Times New Roman"/>
        </w:rPr>
      </w:pPr>
      <w:r>
        <w:rPr>
          <w:rFonts w:eastAsia="Calibri" w:cs="Times New Roman"/>
        </w:rPr>
        <w:t>A vizsgálat kimutatta, hogy a fagylaltban lévő Neukokcin (E 124 színezék) mennyisége 276,8 %-a, míg a fagylaltporban lévő 810 %-a volt a megengedettnek. A fagylaltporból a használati utasítás pontos betartásával is csak magas színezék tartalmú fagylalt volt készíthető. A fagylaltpor gyártóját és forgalmazóját határozatban kötelezték a termék visszahívására és megsemmisítésére és a raktáron lévő készlet forgalmazását megtiltották, az eljárás további részei folyamatban vannak.</w:t>
      </w:r>
    </w:p>
    <w:p w:rsidR="00957C6F" w:rsidRDefault="00957C6F" w:rsidP="00957C6F">
      <w:pPr>
        <w:rPr>
          <w:rFonts w:eastAsia="Calibri" w:cs="Times New Roman"/>
        </w:rPr>
      </w:pPr>
    </w:p>
    <w:p w:rsidR="00957C6F" w:rsidRDefault="00957C6F" w:rsidP="00957C6F">
      <w:pPr>
        <w:rPr>
          <w:rFonts w:eastAsia="Calibri" w:cs="Times New Roman"/>
        </w:rPr>
      </w:pPr>
      <w:r>
        <w:rPr>
          <w:rFonts w:eastAsia="Calibri" w:cs="Times New Roman"/>
        </w:rPr>
        <w:t>A fagylalt ellenőrzés szerves része a termék hőmérsékletének helyszíni mérése.  Jogszabály szerint a fagylalt pultban a termék hőmérséklete -8 C-nál nem lehet magasabb. A mintázott termékeknél csupán 2 esetben tapasztaltunk -7 C-os, azaz a megengedettnél magasabb hőmérsékletet, de a többség bőségesen a megengedett hőmérsékleti határérték alatti volt.</w:t>
      </w:r>
    </w:p>
    <w:p w:rsidR="00957C6F" w:rsidRDefault="00957C6F" w:rsidP="00957C6F">
      <w:pPr>
        <w:rPr>
          <w:rFonts w:eastAsia="Calibri" w:cs="Times New Roman"/>
        </w:rPr>
      </w:pPr>
    </w:p>
    <w:p w:rsidR="00957C6F" w:rsidRDefault="00957C6F" w:rsidP="00957C6F">
      <w:pPr>
        <w:rPr>
          <w:rFonts w:eastAsia="Calibri" w:cs="Times New Roman"/>
        </w:rPr>
      </w:pPr>
      <w:r>
        <w:rPr>
          <w:rFonts w:eastAsia="Calibri" w:cs="Times New Roman"/>
        </w:rPr>
        <w:t>A kiváló mikrobiológiai és hőmérséklet ellenőrzési vizsgálati eredmények alátámasztják azt az ellenőrzési tapasztalatot, hogy a fagylalt forgalmazás technikai feltételei az utóbbi időben sokat javultak. További javulás tapasztalható a kanálöblítő berendezések korszerűsítése terén is, mert ritka az állóvizes adagolókanál öblítés, és az átfolyó rendszerű adagolókanál öblítőket egyre több helyen felváltják a vízsugárral öblítő, élelmiszerbiztonsági szempontból előnyösebb berendezések. Az ellenőrök, illetve a fogyasztók jelzései alapján a fagylalt pultoknál sajnos még mindig előfordul, hogy a fagylaltadagoló kanalat a pultra helyezett rongyra, vagy szivacskendőre ütögetéssel víztelenítik.</w:t>
      </w:r>
    </w:p>
    <w:p w:rsidR="00957C6F" w:rsidRDefault="00957C6F" w:rsidP="00957C6F">
      <w:pPr>
        <w:rPr>
          <w:rFonts w:eastAsia="Calibri" w:cs="Times New Roman"/>
        </w:rPr>
      </w:pPr>
    </w:p>
    <w:p w:rsidR="00957C6F" w:rsidRPr="00641076" w:rsidRDefault="00957C6F" w:rsidP="00957C6F">
      <w:pPr>
        <w:rPr>
          <w:rFonts w:eastAsia="Calibri" w:cs="Times New Roman"/>
          <w:b/>
        </w:rPr>
      </w:pPr>
      <w:r>
        <w:rPr>
          <w:rFonts w:eastAsia="Calibri" w:cs="Times New Roman"/>
          <w:b/>
          <w:u w:val="single"/>
        </w:rPr>
        <w:t xml:space="preserve">2. </w:t>
      </w:r>
      <w:r w:rsidRPr="00F37CC5">
        <w:rPr>
          <w:rFonts w:eastAsia="Calibri" w:cs="Times New Roman"/>
          <w:b/>
          <w:u w:val="single"/>
        </w:rPr>
        <w:t>Csapolt sör szezonális ellenőrzés</w:t>
      </w:r>
      <w:r>
        <w:rPr>
          <w:rFonts w:eastAsia="Calibri" w:cs="Times New Roman"/>
          <w:b/>
        </w:rPr>
        <w:t xml:space="preserve"> 07.01. – 08. 31.</w:t>
      </w:r>
    </w:p>
    <w:p w:rsidR="00957C6F" w:rsidRDefault="00957C6F" w:rsidP="00957C6F">
      <w:pPr>
        <w:rPr>
          <w:rFonts w:eastAsia="Calibri" w:cs="Times New Roman"/>
        </w:rPr>
      </w:pPr>
    </w:p>
    <w:p w:rsidR="00957C6F" w:rsidRPr="00E068AB" w:rsidRDefault="00957C6F" w:rsidP="00957C6F">
      <w:pPr>
        <w:rPr>
          <w:rFonts w:eastAsia="Calibri" w:cs="Times New Roman"/>
        </w:rPr>
      </w:pPr>
      <w:r>
        <w:rPr>
          <w:rFonts w:eastAsia="Calibri" w:cs="Times New Roman"/>
        </w:rPr>
        <w:t>A nyári szezonális élelmiszerlánc ellenőrzés keretében lezajlott a vendéglátásból származó csapolt sör termékek mikrobiológiai célellenőrzése, 40, az i</w:t>
      </w:r>
      <w:r w:rsidRPr="00E068AB">
        <w:rPr>
          <w:rFonts w:eastAsia="Calibri" w:cs="Times New Roman"/>
        </w:rPr>
        <w:t>deg</w:t>
      </w:r>
      <w:r>
        <w:rPr>
          <w:rFonts w:eastAsia="Calibri" w:cs="Times New Roman"/>
        </w:rPr>
        <w:t>enforgalom szempontból frekventált vendéglátóhelye</w:t>
      </w:r>
      <w:r w:rsidRPr="00E068AB">
        <w:rPr>
          <w:rFonts w:eastAsia="Calibri" w:cs="Times New Roman"/>
        </w:rPr>
        <w:t xml:space="preserve">n </w:t>
      </w:r>
      <w:r>
        <w:rPr>
          <w:rFonts w:eastAsia="Calibri" w:cs="Times New Roman"/>
        </w:rPr>
        <w:t xml:space="preserve">(Balaton part, Duna és Tisza part stb.), és összesen </w:t>
      </w:r>
      <w:r w:rsidRPr="00E068AB">
        <w:rPr>
          <w:rFonts w:eastAsia="Calibri" w:cs="Times New Roman"/>
        </w:rPr>
        <w:t xml:space="preserve">40 csapolt sör </w:t>
      </w:r>
      <w:r>
        <w:rPr>
          <w:rFonts w:eastAsia="Calibri" w:cs="Times New Roman"/>
        </w:rPr>
        <w:t xml:space="preserve">mintavételére került sor. </w:t>
      </w:r>
    </w:p>
    <w:p w:rsidR="00957C6F" w:rsidRDefault="00957C6F" w:rsidP="00957C6F">
      <w:pPr>
        <w:pStyle w:val="NormlWeb"/>
        <w:spacing w:before="0" w:beforeAutospacing="0" w:after="0" w:afterAutospacing="0"/>
        <w:jc w:val="both"/>
      </w:pPr>
      <w:r>
        <w:lastRenderedPageBreak/>
        <w:t xml:space="preserve">A mintákat a NÉBIH Regionális Élelmiszerlánc Laboratóriumaiban 82 vizsgálattal dolgozták fel. </w:t>
      </w:r>
      <w:r w:rsidRPr="00305B64">
        <w:rPr>
          <w:b/>
          <w:i/>
        </w:rPr>
        <w:t xml:space="preserve">Az élelmiszerekben előforduló mikrobiológiai szennyeződések megengedhető mértékéről szóló </w:t>
      </w:r>
      <w:r w:rsidRPr="0067330D">
        <w:rPr>
          <w:b/>
          <w:i/>
        </w:rPr>
        <w:t>4/1998. (XI. 11.) EüM rendelet</w:t>
      </w:r>
      <w:r w:rsidRPr="00305B64">
        <w:rPr>
          <w:b/>
          <w:i/>
        </w:rPr>
        <w:t xml:space="preserve"> előírásait figyelembe véve </w:t>
      </w:r>
      <w:r>
        <w:t xml:space="preserve">- </w:t>
      </w:r>
      <w:r w:rsidRPr="004435C7">
        <w:rPr>
          <w:b/>
        </w:rPr>
        <w:t xml:space="preserve">kórokozó mikroba egyik mintából sem volt kimutatható, </w:t>
      </w:r>
      <w:r>
        <w:t>és csupán 2</w:t>
      </w:r>
      <w:r w:rsidRPr="00423DF9">
        <w:t xml:space="preserve"> </w:t>
      </w:r>
      <w:r>
        <w:t xml:space="preserve">sörminta </w:t>
      </w:r>
      <w:r w:rsidRPr="00423DF9">
        <w:t xml:space="preserve">esetben </w:t>
      </w:r>
      <w:r>
        <w:t>találtunk alacsony csíraszámban, szennyezettséget jelző mikrobát - nagy valószínűséggel a hibás sörcsapolás következményeként. Ezeken a helyszíneken hatósági intézkedés történt a sörcsapok soron kívüli fertőtlenítéséről, amit megfelelő vizsgálati eredménnyel záruló ismételt hatósági mintavétel, követett.</w:t>
      </w:r>
    </w:p>
    <w:p w:rsidR="00957C6F" w:rsidRDefault="00957C6F" w:rsidP="00957C6F">
      <w:pPr>
        <w:pStyle w:val="NormlWeb"/>
        <w:spacing w:before="0" w:beforeAutospacing="0" w:after="0" w:afterAutospacing="0"/>
        <w:jc w:val="both"/>
      </w:pPr>
    </w:p>
    <w:p w:rsidR="00957C6F" w:rsidRDefault="00957C6F" w:rsidP="00957C6F">
      <w:pPr>
        <w:pStyle w:val="NormlWeb"/>
        <w:spacing w:before="0" w:beforeAutospacing="0" w:after="0" w:afterAutospacing="0"/>
        <w:jc w:val="both"/>
      </w:pPr>
      <w:r>
        <w:t>A mintavételekkel egyidejűleg vizsgáltuk a mintázott söröshordók csapra helyezése és a sörcsapok legutolsó vizes átmosatásának, és a legutolsó vegyszeres karbantartásának idejét is. A hagyományos sörcsapok esetében a mintavétel és a vizes öblítés között eltelt napok száma átlagban 2 nap, a mintavétel és a vegyszeres tisztítás között eltelt napok száma átlagban 2-3 hét között volt.</w:t>
      </w:r>
    </w:p>
    <w:p w:rsidR="00957C6F" w:rsidRDefault="00957C6F" w:rsidP="00957C6F">
      <w:pPr>
        <w:pStyle w:val="NormlWeb"/>
        <w:spacing w:before="0" w:beforeAutospacing="0" w:after="0" w:afterAutospacing="0"/>
        <w:jc w:val="both"/>
      </w:pPr>
      <w:r>
        <w:t>A mintázott helyek 8 %-a speciális, úgynevezett „David sörcsapoló berendezést” használ, amelynél már nem kell a sörvezetékeket mosni, mivel a David hordó beépített vezeték rendszerét a sörgyár minden újratöltésnél kicseréli.</w:t>
      </w:r>
    </w:p>
    <w:p w:rsidR="00957C6F" w:rsidRDefault="00957C6F" w:rsidP="00957C6F">
      <w:pPr>
        <w:pStyle w:val="NormlWeb"/>
        <w:spacing w:before="0" w:beforeAutospacing="0" w:after="0" w:afterAutospacing="0"/>
        <w:jc w:val="both"/>
      </w:pPr>
    </w:p>
    <w:p w:rsidR="00957C6F" w:rsidRDefault="00957C6F" w:rsidP="00957C6F">
      <w:pPr>
        <w:pStyle w:val="NormlWeb"/>
        <w:spacing w:before="0" w:beforeAutospacing="0" w:after="0" w:afterAutospacing="0"/>
        <w:jc w:val="both"/>
      </w:pPr>
      <w:r>
        <w:t>A fentiek mellett a három legnagyobb, csapolt sört forgalmazó hazai vállalat, összesen 30, véletlenszerűen kiválasztott vendéglátó üzletekbe kihelyezett sörcsapjának üzemeltetését vizsgálta meg a NÉBIH, fókuszálva a sörcsapok karbantartására, tisztaságára és a csapolt sörök romlás miatti fogyasztói reklamációira. Ennek keretében reklamációval, szemmel látható szennyeződés miatt kifogásolt sörcsappal nem találkoztunk. A megvizsgált vállalatok jól felépített és üzemeltetett belső ellenőrzési és karbantartási rendszerekkel biztosítják a csapolt sörök megfelelő minőségét és élelmiszerbiztonságát.</w:t>
      </w:r>
    </w:p>
    <w:p w:rsidR="00957C6F" w:rsidRDefault="00957C6F" w:rsidP="00957C6F">
      <w:pPr>
        <w:rPr>
          <w:rFonts w:eastAsia="Calibri" w:cs="Times New Roman"/>
        </w:rPr>
      </w:pPr>
    </w:p>
    <w:p w:rsidR="00957C6F" w:rsidRDefault="00957C6F" w:rsidP="00957C6F">
      <w:pPr>
        <w:rPr>
          <w:rFonts w:eastAsia="Calibri" w:cs="Times New Roman"/>
        </w:rPr>
      </w:pPr>
    </w:p>
    <w:p w:rsidR="00957C6F" w:rsidRDefault="00957C6F" w:rsidP="00957C6F">
      <w:pPr>
        <w:rPr>
          <w:rFonts w:eastAsia="Calibri" w:cs="Times New Roman"/>
        </w:rPr>
      </w:pPr>
      <w:r>
        <w:rPr>
          <w:rFonts w:eastAsia="Calibri" w:cs="Times New Roman"/>
          <w:b/>
          <w:u w:val="single"/>
        </w:rPr>
        <w:t xml:space="preserve">3. </w:t>
      </w:r>
      <w:r w:rsidRPr="006F63A0">
        <w:rPr>
          <w:rFonts w:eastAsia="Calibri" w:cs="Times New Roman"/>
          <w:b/>
          <w:u w:val="single"/>
        </w:rPr>
        <w:t>Használt sütőolajok célvizsgálata</w:t>
      </w:r>
      <w:r>
        <w:rPr>
          <w:rFonts w:eastAsia="Calibri" w:cs="Times New Roman"/>
          <w:b/>
          <w:u w:val="single"/>
        </w:rPr>
        <w:t xml:space="preserve"> </w:t>
      </w:r>
      <w:r w:rsidRPr="006F63A0">
        <w:rPr>
          <w:rFonts w:eastAsia="Calibri" w:cs="Times New Roman"/>
          <w:b/>
        </w:rPr>
        <w:t>07. 01. – 08. 31.</w:t>
      </w:r>
    </w:p>
    <w:p w:rsidR="00957C6F" w:rsidRDefault="00957C6F" w:rsidP="00957C6F">
      <w:pPr>
        <w:rPr>
          <w:rFonts w:eastAsia="Calibri" w:cs="Times New Roman"/>
        </w:rPr>
      </w:pPr>
    </w:p>
    <w:p w:rsidR="00957C6F" w:rsidRDefault="00957C6F" w:rsidP="00957C6F">
      <w:pPr>
        <w:rPr>
          <w:rFonts w:eastAsia="Calibri" w:cs="Times New Roman"/>
          <w:szCs w:val="24"/>
        </w:rPr>
      </w:pPr>
      <w:r>
        <w:rPr>
          <w:rFonts w:eastAsia="Calibri" w:cs="Times New Roman"/>
          <w:szCs w:val="24"/>
        </w:rPr>
        <w:t>A felhasznált sütőolajok minősége a sütés hibás technológiája, a túlhevítés és megengedettet meghaladó felhasználási idő miatt- a termék minőségére és biztonságságára is hatással van. Ezért</w:t>
      </w:r>
      <w:r w:rsidRPr="00CE6F58">
        <w:rPr>
          <w:rFonts w:eastAsia="Calibri" w:cs="Times New Roman"/>
          <w:szCs w:val="24"/>
        </w:rPr>
        <w:t xml:space="preserve"> július 1 és augusztus 31 közötti időszakban </w:t>
      </w:r>
      <w:r>
        <w:rPr>
          <w:rFonts w:eastAsia="Calibri" w:cs="Times New Roman"/>
          <w:szCs w:val="24"/>
        </w:rPr>
        <w:t xml:space="preserve">kiemelten vizsgáltuk </w:t>
      </w:r>
      <w:r w:rsidRPr="00CE6F58">
        <w:rPr>
          <w:rFonts w:eastAsia="Calibri" w:cs="Times New Roman"/>
          <w:szCs w:val="24"/>
        </w:rPr>
        <w:t>a lángossütők és a vendéglátók által használt sütőolaj</w:t>
      </w:r>
      <w:r>
        <w:rPr>
          <w:rFonts w:eastAsia="Calibri" w:cs="Times New Roman"/>
          <w:szCs w:val="24"/>
        </w:rPr>
        <w:t>ok</w:t>
      </w:r>
      <w:r w:rsidRPr="00CE6F58">
        <w:rPr>
          <w:rFonts w:eastAsia="Calibri" w:cs="Times New Roman"/>
          <w:szCs w:val="24"/>
        </w:rPr>
        <w:t xml:space="preserve"> állapot</w:t>
      </w:r>
      <w:r>
        <w:rPr>
          <w:rFonts w:eastAsia="Calibri" w:cs="Times New Roman"/>
          <w:szCs w:val="24"/>
        </w:rPr>
        <w:t>át.  Az ellenőrzéseken zajló szemrevételezéssel zajló ellenőrzések mellett or</w:t>
      </w:r>
      <w:r w:rsidRPr="00CE6F58">
        <w:rPr>
          <w:rFonts w:eastAsia="Calibri" w:cs="Times New Roman"/>
          <w:szCs w:val="24"/>
        </w:rPr>
        <w:t xml:space="preserve">szágosan </w:t>
      </w:r>
      <w:r>
        <w:rPr>
          <w:rFonts w:eastAsia="Calibri" w:cs="Times New Roman"/>
          <w:szCs w:val="24"/>
        </w:rPr>
        <w:t xml:space="preserve">összesen </w:t>
      </w:r>
      <w:r w:rsidRPr="00CE6F58">
        <w:rPr>
          <w:rFonts w:eastAsia="Calibri" w:cs="Times New Roman"/>
          <w:szCs w:val="24"/>
        </w:rPr>
        <w:t xml:space="preserve">60 helyszínen </w:t>
      </w:r>
      <w:r>
        <w:rPr>
          <w:rFonts w:eastAsia="Calibri" w:cs="Times New Roman"/>
          <w:szCs w:val="24"/>
        </w:rPr>
        <w:t xml:space="preserve">használatban lévő sütőolajok </w:t>
      </w:r>
      <w:r w:rsidRPr="00CE6F58">
        <w:rPr>
          <w:rFonts w:eastAsia="Calibri" w:cs="Times New Roman"/>
          <w:szCs w:val="24"/>
        </w:rPr>
        <w:t>mintavétel</w:t>
      </w:r>
      <w:r>
        <w:rPr>
          <w:rFonts w:eastAsia="Calibri" w:cs="Times New Roman"/>
          <w:szCs w:val="24"/>
        </w:rPr>
        <w:t xml:space="preserve">e is </w:t>
      </w:r>
      <w:r w:rsidRPr="00CE6F58">
        <w:rPr>
          <w:rFonts w:eastAsia="Calibri" w:cs="Times New Roman"/>
          <w:szCs w:val="24"/>
        </w:rPr>
        <w:t>történt</w:t>
      </w:r>
      <w:r>
        <w:rPr>
          <w:rFonts w:eastAsia="Calibri" w:cs="Times New Roman"/>
          <w:szCs w:val="24"/>
        </w:rPr>
        <w:t xml:space="preserve">. A mintákból </w:t>
      </w:r>
      <w:r w:rsidRPr="00CE6F58">
        <w:rPr>
          <w:rFonts w:eastAsia="Calibri" w:cs="Times New Roman"/>
          <w:szCs w:val="24"/>
        </w:rPr>
        <w:t xml:space="preserve"> a laboratórium</w:t>
      </w:r>
      <w:r>
        <w:rPr>
          <w:rFonts w:eastAsia="Calibri" w:cs="Times New Roman"/>
          <w:szCs w:val="24"/>
        </w:rPr>
        <w:t xml:space="preserve">aink az olajok elhasználtságát jelző </w:t>
      </w:r>
      <w:r w:rsidRPr="00CE6F58">
        <w:rPr>
          <w:rFonts w:eastAsia="Calibri" w:cs="Times New Roman"/>
          <w:szCs w:val="24"/>
        </w:rPr>
        <w:t>poláros komponens</w:t>
      </w:r>
      <w:r>
        <w:rPr>
          <w:rFonts w:eastAsia="Calibri" w:cs="Times New Roman"/>
          <w:szCs w:val="24"/>
        </w:rPr>
        <w:t xml:space="preserve">ek </w:t>
      </w:r>
      <w:r w:rsidRPr="00CE6F58">
        <w:rPr>
          <w:rFonts w:eastAsia="Calibri" w:cs="Times New Roman"/>
          <w:szCs w:val="24"/>
        </w:rPr>
        <w:t>mennyiségét vizsgált</w:t>
      </w:r>
      <w:r>
        <w:rPr>
          <w:rFonts w:eastAsia="Calibri" w:cs="Times New Roman"/>
          <w:szCs w:val="24"/>
        </w:rPr>
        <w:t>ák, melyre a</w:t>
      </w:r>
      <w:r w:rsidRPr="00CE6F58">
        <w:rPr>
          <w:rFonts w:eastAsia="Calibri" w:cs="Times New Roman"/>
          <w:szCs w:val="24"/>
        </w:rPr>
        <w:t>z élelmiszerek megengedhető vegyi szennyezettségének megengedhető mértékéről szóló 17/1999. EüM rendelet 2. sz. mellékletének 2.8. pontja</w:t>
      </w:r>
      <w:r>
        <w:rPr>
          <w:rFonts w:eastAsia="Calibri" w:cs="Times New Roman"/>
          <w:szCs w:val="24"/>
        </w:rPr>
        <w:t xml:space="preserve"> 30%-os határértéket állapít meg. </w:t>
      </w:r>
    </w:p>
    <w:p w:rsidR="00957C6F" w:rsidRDefault="00957C6F" w:rsidP="00957C6F">
      <w:pPr>
        <w:rPr>
          <w:rFonts w:eastAsia="Calibri" w:cs="Times New Roman"/>
          <w:szCs w:val="24"/>
        </w:rPr>
      </w:pPr>
      <w:r>
        <w:rPr>
          <w:rFonts w:eastAsia="Calibri" w:cs="Times New Roman"/>
          <w:szCs w:val="24"/>
        </w:rPr>
        <w:t>A laboratóriumi vizsgálatok alapján a 60 mintából 4 minta (6,6 %) nem felelt meg az előírásnak.</w:t>
      </w:r>
    </w:p>
    <w:p w:rsidR="00957C6F" w:rsidRDefault="00957C6F" w:rsidP="00957C6F">
      <w:pPr>
        <w:rPr>
          <w:rFonts w:eastAsia="Calibri" w:cs="Times New Roman"/>
          <w:szCs w:val="24"/>
        </w:rPr>
      </w:pPr>
      <w:r>
        <w:rPr>
          <w:rFonts w:eastAsia="Calibri" w:cs="Times New Roman"/>
          <w:szCs w:val="24"/>
        </w:rPr>
        <w:t>Mindegyik esetben hatósági intézkedés történt, rendelkeztek a sütőolajok gyakoribb cseréjéről.</w:t>
      </w:r>
    </w:p>
    <w:p w:rsidR="00957C6F" w:rsidRDefault="00957C6F" w:rsidP="00957C6F">
      <w:pPr>
        <w:rPr>
          <w:rFonts w:eastAsia="Calibri" w:cs="Times New Roman"/>
        </w:rPr>
      </w:pPr>
    </w:p>
    <w:p w:rsidR="00957C6F" w:rsidRDefault="00957C6F" w:rsidP="00957C6F">
      <w:pPr>
        <w:rPr>
          <w:rFonts w:eastAsia="Calibri" w:cs="Times New Roman"/>
        </w:rPr>
      </w:pPr>
    </w:p>
    <w:p w:rsidR="00957C6F" w:rsidRPr="00046BEA" w:rsidRDefault="00957C6F" w:rsidP="00957C6F">
      <w:pPr>
        <w:rPr>
          <w:rFonts w:eastAsia="Calibri" w:cs="Times New Roman"/>
          <w:b/>
        </w:rPr>
      </w:pPr>
      <w:r w:rsidRPr="00F37CC5">
        <w:rPr>
          <w:rFonts w:eastAsia="Calibri" w:cs="Times New Roman"/>
          <w:b/>
          <w:u w:val="single"/>
        </w:rPr>
        <w:t>Élelmiszer eredetű megbetegedések</w:t>
      </w:r>
      <w:r w:rsidRPr="00046BEA">
        <w:rPr>
          <w:rFonts w:eastAsia="Calibri" w:cs="Times New Roman"/>
          <w:b/>
        </w:rPr>
        <w:t xml:space="preserve"> 2012. 06.</w:t>
      </w:r>
      <w:r>
        <w:rPr>
          <w:rFonts w:eastAsia="Calibri" w:cs="Times New Roman"/>
          <w:b/>
        </w:rPr>
        <w:t xml:space="preserve"> </w:t>
      </w:r>
      <w:r w:rsidRPr="00046BEA">
        <w:rPr>
          <w:rFonts w:eastAsia="Calibri" w:cs="Times New Roman"/>
          <w:b/>
        </w:rPr>
        <w:t>01.-08.</w:t>
      </w:r>
      <w:r>
        <w:rPr>
          <w:rFonts w:eastAsia="Calibri" w:cs="Times New Roman"/>
          <w:b/>
        </w:rPr>
        <w:t xml:space="preserve"> 31.</w:t>
      </w:r>
    </w:p>
    <w:p w:rsidR="00957C6F" w:rsidRDefault="00957C6F" w:rsidP="00957C6F">
      <w:pPr>
        <w:rPr>
          <w:rFonts w:eastAsia="Calibri" w:cs="Times New Roman"/>
        </w:rPr>
      </w:pPr>
    </w:p>
    <w:p w:rsidR="00957C6F" w:rsidRDefault="00957C6F" w:rsidP="00957C6F">
      <w:pPr>
        <w:rPr>
          <w:rFonts w:eastAsia="Calibri" w:cs="Times New Roman"/>
        </w:rPr>
      </w:pPr>
      <w:r>
        <w:rPr>
          <w:rFonts w:eastAsia="Calibri" w:cs="Times New Roman"/>
        </w:rPr>
        <w:t>A nyár folyamán 25 élelmiszer eredetű megbetegedés esemény gyanúját jelentették, 694 megbetegedett személy érintettségével. A vizsgálataink alapján azonban a gyanúk fele kizárható volt, összesen 13 eseménynél állapítottuk meg az élelmiszer eredetet, amelyek kapcsán, együttesen 498 személy betegedett meg, közülük  59 beteg került kórházba.</w:t>
      </w:r>
    </w:p>
    <w:p w:rsidR="00957C6F" w:rsidRDefault="00957C6F" w:rsidP="00957C6F">
      <w:pPr>
        <w:rPr>
          <w:rFonts w:eastAsia="Calibri" w:cs="Times New Roman"/>
        </w:rPr>
      </w:pPr>
      <w:r>
        <w:rPr>
          <w:rFonts w:eastAsia="Calibri" w:cs="Times New Roman"/>
        </w:rPr>
        <w:lastRenderedPageBreak/>
        <w:t>9 esemény történt vendéglátásban, 118 megbetegedéssel, és 4 esemény zajlott le közétkeztetésben 135 megbetegedéssel.</w:t>
      </w:r>
    </w:p>
    <w:p w:rsidR="00957C6F" w:rsidRDefault="00957C6F" w:rsidP="00957C6F">
      <w:pPr>
        <w:rPr>
          <w:rFonts w:eastAsia="Calibri" w:cs="Times New Roman"/>
        </w:rPr>
      </w:pPr>
    </w:p>
    <w:p w:rsidR="00957C6F" w:rsidRDefault="00957C6F" w:rsidP="00957C6F">
      <w:pPr>
        <w:rPr>
          <w:rFonts w:eastAsia="Calibri" w:cs="Times New Roman"/>
        </w:rPr>
      </w:pPr>
      <w:r>
        <w:rPr>
          <w:rFonts w:eastAsia="Calibri" w:cs="Times New Roman"/>
        </w:rPr>
        <w:t>Ifjúsági táborokból 6 esetben érkezett bejelentés, - ami az előző évi bejelentésekhez képes figyelemre méltó- ebből a vizsgálataink alapján 3 esemény bizonyult élelmiszer eredetűnek, amelyben összesen 127 gyermek betegedett meg, és 17-et ápoltak kórházban.</w:t>
      </w:r>
    </w:p>
    <w:p w:rsidR="00957C6F" w:rsidRDefault="00957C6F" w:rsidP="00957C6F">
      <w:pPr>
        <w:rPr>
          <w:rFonts w:eastAsia="Calibri" w:cs="Times New Roman"/>
        </w:rPr>
      </w:pPr>
    </w:p>
    <w:p w:rsidR="00957C6F" w:rsidRDefault="00957C6F" w:rsidP="00957C6F">
      <w:pPr>
        <w:rPr>
          <w:rFonts w:eastAsia="Calibri" w:cs="Times New Roman"/>
        </w:rPr>
      </w:pPr>
      <w:r>
        <w:rPr>
          <w:rFonts w:eastAsia="Calibri" w:cs="Times New Roman"/>
        </w:rPr>
        <w:t>Két jelentős ételfertőzés volt, amelyek kivizsgálásába a NÉBIH is bekapcsolódott.</w:t>
      </w:r>
    </w:p>
    <w:p w:rsidR="00957C6F" w:rsidRDefault="00957C6F" w:rsidP="00957C6F">
      <w:pPr>
        <w:rPr>
          <w:rFonts w:eastAsia="Calibri" w:cs="Times New Roman"/>
        </w:rPr>
      </w:pPr>
    </w:p>
    <w:p w:rsidR="00957C6F" w:rsidRDefault="00957C6F" w:rsidP="00957C6F">
      <w:pPr>
        <w:rPr>
          <w:rFonts w:eastAsia="Calibri" w:cs="Times New Roman"/>
        </w:rPr>
      </w:pPr>
      <w:r>
        <w:rPr>
          <w:rFonts w:eastAsia="Calibri" w:cs="Times New Roman"/>
        </w:rPr>
        <w:t xml:space="preserve">A legmagasabb betegszámú Salmonella ételfertőzés (98 beteg, 6 kórházi ápolt) Csongrád megyében történt, amely táborozó fiatalokat is érintett. Ékeztetésüket ideiglenesen megnyitott iskolai tálalókonyháról egy kifőzde biztosította. A kifőzde működését felfüggesztettük. Az egészségügyi hatóságtól kapott, ételfogyasztási és betegvizsgálati adatatok, továbbá a főzőkonyhán feltárt élelmiszerbiztonsági hibák alapján a konyha felelőssége megállapításra került. </w:t>
      </w:r>
    </w:p>
    <w:p w:rsidR="00957C6F" w:rsidRDefault="00957C6F" w:rsidP="00957C6F">
      <w:pPr>
        <w:rPr>
          <w:rFonts w:eastAsia="Calibri" w:cs="Times New Roman"/>
        </w:rPr>
      </w:pPr>
    </w:p>
    <w:p w:rsidR="00957C6F" w:rsidRDefault="00957C6F" w:rsidP="00957C6F">
      <w:pPr>
        <w:rPr>
          <w:rFonts w:eastAsia="Calibri" w:cs="Times New Roman"/>
        </w:rPr>
      </w:pPr>
      <w:r>
        <w:rPr>
          <w:rFonts w:eastAsia="Calibri" w:cs="Times New Roman"/>
        </w:rPr>
        <w:t>Nemzetközi érintettsége és a kórházi ápolásra került megbetegedettek nagy száma miatt (59 betegből 37 kórházba került) jelentős Salmonella ételfertőzés zajlott le Debrecenben, egy nemzetközi sportverseny résztvevői körében. Az élelmiszer vizsgálatok negatív eredménnyel zárultak, ugyanakkor a feltárt élelmiszerbiztonsági hibák és a betegek ételfogyasztási és vizsgálati adatainak összegzése az étkeztető felelősségét igazolják. Az eljárások még nem zárultak le.</w:t>
      </w:r>
    </w:p>
    <w:p w:rsidR="00957C6F" w:rsidRDefault="00957C6F" w:rsidP="00957C6F">
      <w:pPr>
        <w:rPr>
          <w:rFonts w:eastAsia="Calibri" w:cs="Times New Roman"/>
        </w:rPr>
      </w:pPr>
    </w:p>
    <w:p w:rsidR="00957C6F" w:rsidRDefault="00957C6F" w:rsidP="00957C6F">
      <w:pPr>
        <w:rPr>
          <w:rFonts w:eastAsia="Calibri" w:cs="Times New Roman"/>
        </w:rPr>
      </w:pPr>
    </w:p>
    <w:p w:rsidR="00957C6F" w:rsidRDefault="00957C6F" w:rsidP="00957C6F">
      <w:pPr>
        <w:rPr>
          <w:rFonts w:eastAsia="Calibri" w:cs="Times New Roman"/>
        </w:rPr>
      </w:pPr>
    </w:p>
    <w:p w:rsidR="00957C6F" w:rsidRDefault="00957C6F" w:rsidP="00957C6F">
      <w:pPr>
        <w:rPr>
          <w:rFonts w:eastAsia="Calibri" w:cs="Times New Roman"/>
        </w:rPr>
      </w:pPr>
    </w:p>
    <w:p w:rsidR="00957C6F" w:rsidRDefault="00957C6F" w:rsidP="00957C6F">
      <w:pPr>
        <w:rPr>
          <w:rFonts w:eastAsia="Calibri" w:cs="Times New Roman"/>
        </w:rPr>
      </w:pPr>
      <w:r>
        <w:rPr>
          <w:rFonts w:eastAsia="Calibri" w:cs="Times New Roman"/>
        </w:rPr>
        <w:t xml:space="preserve">  </w:t>
      </w:r>
    </w:p>
    <w:p w:rsidR="00B95AD8" w:rsidRDefault="00B95AD8" w:rsidP="00610F25"/>
    <w:sectPr w:rsidR="00B95AD8" w:rsidSect="00C51A5B">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4EA" w:rsidRDefault="001554EA" w:rsidP="008619A1">
      <w:r>
        <w:separator/>
      </w:r>
    </w:p>
  </w:endnote>
  <w:endnote w:type="continuationSeparator" w:id="0">
    <w:p w:rsidR="001554EA" w:rsidRDefault="001554EA" w:rsidP="008619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19516"/>
      <w:docPartObj>
        <w:docPartGallery w:val="Page Numbers (Bottom of Page)"/>
        <w:docPartUnique/>
      </w:docPartObj>
    </w:sdtPr>
    <w:sdtContent>
      <w:p w:rsidR="008619A1" w:rsidRDefault="0072301B">
        <w:pPr>
          <w:pStyle w:val="llb"/>
          <w:jc w:val="center"/>
        </w:pPr>
        <w:fldSimple w:instr=" PAGE   \* MERGEFORMAT ">
          <w:r w:rsidR="005C0D3B">
            <w:rPr>
              <w:noProof/>
            </w:rPr>
            <w:t>1</w:t>
          </w:r>
        </w:fldSimple>
      </w:p>
    </w:sdtContent>
  </w:sdt>
  <w:p w:rsidR="008619A1" w:rsidRDefault="008619A1">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4EA" w:rsidRDefault="001554EA" w:rsidP="008619A1">
      <w:r>
        <w:separator/>
      </w:r>
    </w:p>
  </w:footnote>
  <w:footnote w:type="continuationSeparator" w:id="0">
    <w:p w:rsidR="001554EA" w:rsidRDefault="001554EA" w:rsidP="008619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F6C03"/>
    <w:multiLevelType w:val="hybridMultilevel"/>
    <w:tmpl w:val="96944884"/>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91D75"/>
    <w:rsid w:val="00033157"/>
    <w:rsid w:val="00092098"/>
    <w:rsid w:val="00095E37"/>
    <w:rsid w:val="000A6569"/>
    <w:rsid w:val="000B43B0"/>
    <w:rsid w:val="000B750D"/>
    <w:rsid w:val="000D3CF6"/>
    <w:rsid w:val="000E715C"/>
    <w:rsid w:val="000F7392"/>
    <w:rsid w:val="00123AFE"/>
    <w:rsid w:val="0012668F"/>
    <w:rsid w:val="001409BB"/>
    <w:rsid w:val="00150F4F"/>
    <w:rsid w:val="001554EA"/>
    <w:rsid w:val="00157C0F"/>
    <w:rsid w:val="00170333"/>
    <w:rsid w:val="00196DC8"/>
    <w:rsid w:val="001C7CC4"/>
    <w:rsid w:val="0021458B"/>
    <w:rsid w:val="00240AE5"/>
    <w:rsid w:val="00286C60"/>
    <w:rsid w:val="002B5EAE"/>
    <w:rsid w:val="00330945"/>
    <w:rsid w:val="00376320"/>
    <w:rsid w:val="003B1480"/>
    <w:rsid w:val="003C1CB4"/>
    <w:rsid w:val="003D3577"/>
    <w:rsid w:val="003D4335"/>
    <w:rsid w:val="00414651"/>
    <w:rsid w:val="004411C5"/>
    <w:rsid w:val="00444232"/>
    <w:rsid w:val="00465682"/>
    <w:rsid w:val="004A67A4"/>
    <w:rsid w:val="004B420C"/>
    <w:rsid w:val="005369CC"/>
    <w:rsid w:val="00587BE9"/>
    <w:rsid w:val="0059511D"/>
    <w:rsid w:val="005A34EC"/>
    <w:rsid w:val="005C0D3B"/>
    <w:rsid w:val="005C279F"/>
    <w:rsid w:val="005C46D7"/>
    <w:rsid w:val="005C4EA5"/>
    <w:rsid w:val="005D0E73"/>
    <w:rsid w:val="00604624"/>
    <w:rsid w:val="00610F25"/>
    <w:rsid w:val="00616401"/>
    <w:rsid w:val="006833A5"/>
    <w:rsid w:val="00691D75"/>
    <w:rsid w:val="006E5A4C"/>
    <w:rsid w:val="0072301B"/>
    <w:rsid w:val="00740D5C"/>
    <w:rsid w:val="00745B90"/>
    <w:rsid w:val="00752553"/>
    <w:rsid w:val="0076249E"/>
    <w:rsid w:val="00771CC1"/>
    <w:rsid w:val="007D1E9E"/>
    <w:rsid w:val="007E2B88"/>
    <w:rsid w:val="007F33AE"/>
    <w:rsid w:val="00820D84"/>
    <w:rsid w:val="00851A4D"/>
    <w:rsid w:val="008619A1"/>
    <w:rsid w:val="00864002"/>
    <w:rsid w:val="00881212"/>
    <w:rsid w:val="00884DB6"/>
    <w:rsid w:val="008C083D"/>
    <w:rsid w:val="008D6969"/>
    <w:rsid w:val="009020D3"/>
    <w:rsid w:val="00914B8B"/>
    <w:rsid w:val="00937AF0"/>
    <w:rsid w:val="00957C6F"/>
    <w:rsid w:val="0096534F"/>
    <w:rsid w:val="00966C11"/>
    <w:rsid w:val="009B5CA3"/>
    <w:rsid w:val="009D3682"/>
    <w:rsid w:val="009F03F9"/>
    <w:rsid w:val="009F3C8C"/>
    <w:rsid w:val="009F7DB4"/>
    <w:rsid w:val="00A1500C"/>
    <w:rsid w:val="00A36F5E"/>
    <w:rsid w:val="00A67150"/>
    <w:rsid w:val="00A71A34"/>
    <w:rsid w:val="00A901DE"/>
    <w:rsid w:val="00AA0A35"/>
    <w:rsid w:val="00AF5045"/>
    <w:rsid w:val="00B3633D"/>
    <w:rsid w:val="00B61CF5"/>
    <w:rsid w:val="00B95AD8"/>
    <w:rsid w:val="00BC0A55"/>
    <w:rsid w:val="00C049F3"/>
    <w:rsid w:val="00C116D9"/>
    <w:rsid w:val="00C51A5B"/>
    <w:rsid w:val="00C620C0"/>
    <w:rsid w:val="00C73991"/>
    <w:rsid w:val="00C91BCD"/>
    <w:rsid w:val="00C93982"/>
    <w:rsid w:val="00CF26A3"/>
    <w:rsid w:val="00D371A6"/>
    <w:rsid w:val="00D432C0"/>
    <w:rsid w:val="00D53186"/>
    <w:rsid w:val="00DE0EDE"/>
    <w:rsid w:val="00DE26FB"/>
    <w:rsid w:val="00DF6F7E"/>
    <w:rsid w:val="00E002BC"/>
    <w:rsid w:val="00EF6937"/>
    <w:rsid w:val="00F240CE"/>
    <w:rsid w:val="00F61C28"/>
    <w:rsid w:val="00FA76D7"/>
    <w:rsid w:val="00FB28E8"/>
    <w:rsid w:val="00FD157E"/>
    <w:rsid w:val="00FE05B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normál"/>
    <w:qFormat/>
    <w:rsid w:val="000D3CF6"/>
    <w:rPr>
      <w:rFonts w:ascii="Times New Roman" w:hAnsi="Times New Roman"/>
      <w:sz w:val="24"/>
    </w:rPr>
  </w:style>
  <w:style w:type="character" w:default="1" w:styleId="Bekezdsalapbettpusa">
    <w:name w:val="Default Paragraph Font"/>
    <w:uiPriority w:val="1"/>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881212"/>
    <w:rPr>
      <w:rFonts w:ascii="Tahoma" w:hAnsi="Tahoma" w:cs="Tahoma"/>
      <w:sz w:val="16"/>
      <w:szCs w:val="16"/>
    </w:rPr>
  </w:style>
  <w:style w:type="character" w:customStyle="1" w:styleId="BuborkszvegChar">
    <w:name w:val="Buborékszöveg Char"/>
    <w:basedOn w:val="Bekezdsalapbettpusa"/>
    <w:link w:val="Buborkszveg"/>
    <w:uiPriority w:val="99"/>
    <w:semiHidden/>
    <w:rsid w:val="00881212"/>
    <w:rPr>
      <w:rFonts w:ascii="Tahoma" w:hAnsi="Tahoma" w:cs="Tahoma"/>
      <w:sz w:val="16"/>
      <w:szCs w:val="16"/>
    </w:rPr>
  </w:style>
  <w:style w:type="paragraph" w:styleId="lfej">
    <w:name w:val="header"/>
    <w:basedOn w:val="Norml"/>
    <w:link w:val="lfejChar"/>
    <w:uiPriority w:val="99"/>
    <w:semiHidden/>
    <w:unhideWhenUsed/>
    <w:rsid w:val="008619A1"/>
    <w:pPr>
      <w:tabs>
        <w:tab w:val="center" w:pos="4536"/>
        <w:tab w:val="right" w:pos="9072"/>
      </w:tabs>
    </w:pPr>
  </w:style>
  <w:style w:type="character" w:customStyle="1" w:styleId="lfejChar">
    <w:name w:val="Élőfej Char"/>
    <w:basedOn w:val="Bekezdsalapbettpusa"/>
    <w:link w:val="lfej"/>
    <w:uiPriority w:val="99"/>
    <w:semiHidden/>
    <w:rsid w:val="008619A1"/>
    <w:rPr>
      <w:rFonts w:ascii="Times New Roman" w:hAnsi="Times New Roman"/>
      <w:sz w:val="24"/>
    </w:rPr>
  </w:style>
  <w:style w:type="paragraph" w:styleId="llb">
    <w:name w:val="footer"/>
    <w:basedOn w:val="Norml"/>
    <w:link w:val="llbChar"/>
    <w:uiPriority w:val="99"/>
    <w:unhideWhenUsed/>
    <w:rsid w:val="008619A1"/>
    <w:pPr>
      <w:tabs>
        <w:tab w:val="center" w:pos="4536"/>
        <w:tab w:val="right" w:pos="9072"/>
      </w:tabs>
    </w:pPr>
  </w:style>
  <w:style w:type="character" w:customStyle="1" w:styleId="llbChar">
    <w:name w:val="Élőláb Char"/>
    <w:basedOn w:val="Bekezdsalapbettpusa"/>
    <w:link w:val="llb"/>
    <w:uiPriority w:val="99"/>
    <w:rsid w:val="008619A1"/>
    <w:rPr>
      <w:rFonts w:ascii="Times New Roman" w:hAnsi="Times New Roman"/>
      <w:sz w:val="24"/>
    </w:rPr>
  </w:style>
  <w:style w:type="paragraph" w:styleId="Listaszerbekezds">
    <w:name w:val="List Paragraph"/>
    <w:basedOn w:val="Norml"/>
    <w:qFormat/>
    <w:rsid w:val="00B95AD8"/>
    <w:pPr>
      <w:ind w:left="720"/>
      <w:contextualSpacing/>
      <w:jc w:val="left"/>
    </w:pPr>
    <w:rPr>
      <w:rFonts w:ascii="Arial" w:eastAsia="Times New Roman" w:hAnsi="Arial" w:cs="Times New Roman"/>
      <w:sz w:val="22"/>
      <w:szCs w:val="20"/>
      <w:lang w:eastAsia="hu-HU"/>
    </w:rPr>
  </w:style>
  <w:style w:type="paragraph" w:styleId="NormlWeb">
    <w:name w:val="Normal (Web)"/>
    <w:basedOn w:val="Norml"/>
    <w:unhideWhenUsed/>
    <w:rsid w:val="00B95AD8"/>
    <w:pPr>
      <w:spacing w:before="100" w:beforeAutospacing="1" w:after="100" w:afterAutospacing="1"/>
      <w:jc w:val="left"/>
    </w:pPr>
    <w:rPr>
      <w:rFonts w:eastAsia="Times New Roman" w:cs="Times New Roman"/>
      <w:szCs w:val="24"/>
      <w:lang w:eastAsia="hu-HU"/>
    </w:rPr>
  </w:style>
  <w:style w:type="paragraph" w:styleId="Csakszveg">
    <w:name w:val="Plain Text"/>
    <w:basedOn w:val="Norml"/>
    <w:link w:val="CsakszvegChar"/>
    <w:uiPriority w:val="99"/>
    <w:unhideWhenUsed/>
    <w:rsid w:val="00B95AD8"/>
    <w:pPr>
      <w:jc w:val="left"/>
    </w:pPr>
    <w:rPr>
      <w:rFonts w:ascii="Consolas" w:hAnsi="Consolas" w:cs="Consolas"/>
      <w:sz w:val="21"/>
      <w:szCs w:val="21"/>
    </w:rPr>
  </w:style>
  <w:style w:type="character" w:customStyle="1" w:styleId="CsakszvegChar">
    <w:name w:val="Csak szöveg Char"/>
    <w:basedOn w:val="Bekezdsalapbettpusa"/>
    <w:link w:val="Csakszveg"/>
    <w:uiPriority w:val="99"/>
    <w:rsid w:val="00B95AD8"/>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9401564">
      <w:bodyDiv w:val="1"/>
      <w:marLeft w:val="0"/>
      <w:marRight w:val="0"/>
      <w:marTop w:val="0"/>
      <w:marBottom w:val="0"/>
      <w:divBdr>
        <w:top w:val="none" w:sz="0" w:space="0" w:color="auto"/>
        <w:left w:val="none" w:sz="0" w:space="0" w:color="auto"/>
        <w:bottom w:val="none" w:sz="0" w:space="0" w:color="auto"/>
        <w:right w:val="none" w:sz="0" w:space="0" w:color="auto"/>
      </w:divBdr>
    </w:div>
    <w:div w:id="854153735">
      <w:bodyDiv w:val="1"/>
      <w:marLeft w:val="0"/>
      <w:marRight w:val="0"/>
      <w:marTop w:val="0"/>
      <w:marBottom w:val="0"/>
      <w:divBdr>
        <w:top w:val="none" w:sz="0" w:space="0" w:color="auto"/>
        <w:left w:val="none" w:sz="0" w:space="0" w:color="auto"/>
        <w:bottom w:val="none" w:sz="0" w:space="0" w:color="auto"/>
        <w:right w:val="none" w:sz="0" w:space="0" w:color="auto"/>
      </w:divBdr>
    </w:div>
    <w:div w:id="193023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11</Pages>
  <Words>3398</Words>
  <Characters>23450</Characters>
  <Application>Microsoft Office Word</Application>
  <DocSecurity>0</DocSecurity>
  <Lines>195</Lines>
  <Paragraphs>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Dóczy Katalin</dc:creator>
  <cp:lastModifiedBy>Dr. Dóczy Katalin</cp:lastModifiedBy>
  <cp:revision>18</cp:revision>
  <dcterms:created xsi:type="dcterms:W3CDTF">2012-09-04T20:22:00Z</dcterms:created>
  <dcterms:modified xsi:type="dcterms:W3CDTF">2012-09-11T10:48:00Z</dcterms:modified>
</cp:coreProperties>
</file>