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FF" w:rsidRPr="004E26D1" w:rsidRDefault="004E26D1" w:rsidP="00F95C4B">
      <w:pPr>
        <w:jc w:val="both"/>
        <w:rPr>
          <w:b/>
          <w:sz w:val="36"/>
          <w:szCs w:val="36"/>
        </w:rPr>
      </w:pPr>
      <w:r w:rsidRPr="004E26D1">
        <w:rPr>
          <w:b/>
          <w:sz w:val="36"/>
          <w:szCs w:val="36"/>
        </w:rPr>
        <w:t xml:space="preserve">Faanyag nyomon követéséhez </w:t>
      </w:r>
      <w:r w:rsidR="003012EC" w:rsidRPr="004E26D1">
        <w:rPr>
          <w:b/>
          <w:sz w:val="36"/>
          <w:szCs w:val="36"/>
        </w:rPr>
        <w:t>alapvető</w:t>
      </w:r>
      <w:r w:rsidR="003012EC">
        <w:rPr>
          <w:b/>
          <w:sz w:val="36"/>
          <w:szCs w:val="36"/>
        </w:rPr>
        <w:t>en</w:t>
      </w:r>
      <w:r w:rsidR="003012EC" w:rsidRPr="004E26D1">
        <w:rPr>
          <w:b/>
          <w:sz w:val="36"/>
          <w:szCs w:val="36"/>
        </w:rPr>
        <w:t xml:space="preserve"> </w:t>
      </w:r>
      <w:r w:rsidRPr="004E26D1">
        <w:rPr>
          <w:b/>
          <w:sz w:val="36"/>
          <w:szCs w:val="36"/>
        </w:rPr>
        <w:t>szükséges adatok</w:t>
      </w:r>
    </w:p>
    <w:p w:rsidR="004E26D1" w:rsidRPr="00F95C4B" w:rsidRDefault="004E26D1" w:rsidP="00F95C4B">
      <w:pPr>
        <w:jc w:val="both"/>
        <w:rPr>
          <w:b/>
        </w:rPr>
      </w:pPr>
      <w:r w:rsidRPr="00F95C4B">
        <w:rPr>
          <w:b/>
        </w:rPr>
        <w:t xml:space="preserve">A tűzifaszezon közeledtével a faanyag útjának nyomon követése a kitermelés helyétől egészen a kandallóig egyre fontosabb minden érintett szereplő számára. A </w:t>
      </w:r>
      <w:r w:rsidR="00B305B6" w:rsidRPr="00F95C4B">
        <w:rPr>
          <w:b/>
        </w:rPr>
        <w:t>faanyag kereskedelmi lánc szereplők felügyeletét a Nemzeti Élelmiszerlánc-biztonsági Hivatal</w:t>
      </w:r>
      <w:r w:rsidR="003012EC">
        <w:rPr>
          <w:b/>
        </w:rPr>
        <w:t xml:space="preserve"> (NÉBIH)</w:t>
      </w:r>
      <w:r w:rsidR="00B305B6" w:rsidRPr="00F95C4B">
        <w:rPr>
          <w:b/>
        </w:rPr>
        <w:t xml:space="preserve"> Erdészeti Igazgatósága</w:t>
      </w:r>
      <w:r w:rsidR="00521284">
        <w:rPr>
          <w:b/>
        </w:rPr>
        <w:t xml:space="preserve">, mint </w:t>
      </w:r>
      <w:r w:rsidR="003012EC">
        <w:rPr>
          <w:b/>
        </w:rPr>
        <w:t xml:space="preserve">kijelölt erdészeti </w:t>
      </w:r>
      <w:r w:rsidR="00521284">
        <w:rPr>
          <w:b/>
        </w:rPr>
        <w:t>hatóság</w:t>
      </w:r>
      <w:r w:rsidR="00B305B6" w:rsidRPr="00F95C4B">
        <w:rPr>
          <w:b/>
        </w:rPr>
        <w:t xml:space="preserve"> látja el. A</w:t>
      </w:r>
      <w:r w:rsidR="003012EC">
        <w:rPr>
          <w:b/>
        </w:rPr>
        <w:t xml:space="preserve"> NÉBIH</w:t>
      </w:r>
      <w:r w:rsidR="00F95C4B">
        <w:rPr>
          <w:b/>
        </w:rPr>
        <w:t xml:space="preserve"> ellenőrzései </w:t>
      </w:r>
      <w:r w:rsidR="00AD4ECE">
        <w:rPr>
          <w:b/>
        </w:rPr>
        <w:t>arra világította</w:t>
      </w:r>
      <w:r w:rsidR="00B305B6" w:rsidRPr="00F95C4B">
        <w:rPr>
          <w:b/>
        </w:rPr>
        <w:t xml:space="preserve">k rá, hogy a feltárt </w:t>
      </w:r>
      <w:r w:rsidR="00521284">
        <w:rPr>
          <w:b/>
        </w:rPr>
        <w:t xml:space="preserve">hiányosságok, </w:t>
      </w:r>
      <w:r w:rsidR="00B305B6" w:rsidRPr="00F95C4B">
        <w:rPr>
          <w:b/>
        </w:rPr>
        <w:t xml:space="preserve">szabálytalanságok mögött mindig tetten érhető a faanyag nyomon követéséhez használt adatkörök, </w:t>
      </w:r>
      <w:r w:rsidR="00852869">
        <w:rPr>
          <w:b/>
        </w:rPr>
        <w:t xml:space="preserve">az </w:t>
      </w:r>
      <w:r w:rsidR="00B305B6" w:rsidRPr="00F95C4B">
        <w:rPr>
          <w:b/>
        </w:rPr>
        <w:t>azokból összeállított</w:t>
      </w:r>
      <w:r w:rsidR="00F95C4B" w:rsidRPr="00F95C4B">
        <w:rPr>
          <w:b/>
        </w:rPr>
        <w:t xml:space="preserve"> nyilvántartások elégtelensége. </w:t>
      </w:r>
    </w:p>
    <w:p w:rsidR="00F95C4B" w:rsidRDefault="003012EC" w:rsidP="00F95C4B">
      <w:pPr>
        <w:jc w:val="both"/>
      </w:pPr>
      <w:r>
        <w:t xml:space="preserve">Az EUTR szerinti kereskedőkre vonatkozó nyilvántartási kötelezettségekről korábban már közreadott a NÉBIH egy összefoglaló </w:t>
      </w:r>
      <w:proofErr w:type="gramStart"/>
      <w:r>
        <w:t>tájékoztatót</w:t>
      </w:r>
      <w:r w:rsidR="00691C47">
        <w:rPr>
          <w:rStyle w:val="Lbjegyzet-hivatkozs"/>
        </w:rPr>
        <w:footnoteReference w:id="1"/>
      </w:r>
      <w:r>
        <w:t>,</w:t>
      </w:r>
      <w:proofErr w:type="gramEnd"/>
      <w:r>
        <w:t xml:space="preserve"> valamint egy útmutatót</w:t>
      </w:r>
      <w:r w:rsidR="00691C47">
        <w:rPr>
          <w:rStyle w:val="Lbjegyzet-hivatkozs"/>
        </w:rPr>
        <w:footnoteReference w:id="2"/>
      </w:r>
      <w:r>
        <w:t>, amelyhez most további kiegészítő informá</w:t>
      </w:r>
      <w:r w:rsidR="00C93C6C">
        <w:t>ciókat, javaslatokat adunk</w:t>
      </w:r>
      <w:r>
        <w:t>.</w:t>
      </w:r>
    </w:p>
    <w:p w:rsidR="00B611D8" w:rsidRDefault="00B611D8" w:rsidP="00F95C4B">
      <w:pPr>
        <w:jc w:val="both"/>
      </w:pPr>
      <w:r>
        <w:t>A kereskedőknek elsősorban a nyomon követhetőségre vonatkozó kötelezettségeket kell teljesíteniük, amely alapján az általuk forgalmazott fatermékek útja beazonosítható, eredetük a teljes kereskedelmi láncon végigkísérhető és dokumentálható. Ez egyaránt jelenti a</w:t>
      </w:r>
      <w:r w:rsidR="003012EC">
        <w:t>z egyes fatermékek</w:t>
      </w:r>
      <w:r>
        <w:t xml:space="preserve"> mennyiségi és fafaj, </w:t>
      </w:r>
      <w:r w:rsidR="00F54F9E">
        <w:t>valamint</w:t>
      </w:r>
      <w:r w:rsidR="00691C47">
        <w:t xml:space="preserve"> </w:t>
      </w:r>
      <w:r>
        <w:t>termék típus (kód/megnevezés/cikkszám) szerinti azonosíthatóság</w:t>
      </w:r>
      <w:r w:rsidR="00691C47">
        <w:t>á</w:t>
      </w:r>
      <w:r>
        <w:t>t.</w:t>
      </w:r>
    </w:p>
    <w:p w:rsidR="006A62C0" w:rsidRDefault="00B611D8" w:rsidP="00F95C4B">
      <w:pPr>
        <w:jc w:val="both"/>
      </w:pPr>
      <w:r>
        <w:t xml:space="preserve">A kereskedőknek ezért </w:t>
      </w:r>
      <w:r w:rsidR="00691C47">
        <w:t xml:space="preserve">olyan </w:t>
      </w:r>
      <w:r>
        <w:t>nyilvántartást kell vezetniük</w:t>
      </w:r>
      <w:r w:rsidR="00691C47">
        <w:t>, amely</w:t>
      </w:r>
      <w:r w:rsidR="00F54F9E">
        <w:t xml:space="preserve"> </w:t>
      </w:r>
      <w:r>
        <w:t>legalá</w:t>
      </w:r>
      <w:r w:rsidR="00E9747A">
        <w:t>bb</w:t>
      </w:r>
      <w:r w:rsidR="00676A50">
        <w:t xml:space="preserve"> az </w:t>
      </w:r>
      <w:r w:rsidR="00817C47">
        <w:t>alább</w:t>
      </w:r>
      <w:r w:rsidR="00676A50">
        <w:t xml:space="preserve"> felsoroltak</w:t>
      </w:r>
      <w:r w:rsidR="00691C47">
        <w:t>at tartalmazza</w:t>
      </w:r>
      <w:r w:rsidR="00817C47">
        <w:t>:</w:t>
      </w:r>
      <w:r w:rsidR="00E9747A">
        <w:t xml:space="preserve"> </w:t>
      </w:r>
    </w:p>
    <w:p w:rsidR="006A62C0" w:rsidRDefault="006A62C0" w:rsidP="006A62C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Kereskedelmi partnerek, azaz a vevők és beszállítók adatai </w:t>
      </w:r>
    </w:p>
    <w:p w:rsidR="006A62C0" w:rsidRDefault="006A62C0" w:rsidP="006A62C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 forgalmazott fatermék ad</w:t>
      </w:r>
      <w:r w:rsidR="00F54F9E">
        <w:t>atai (vásárolt, eladott, készleten</w:t>
      </w:r>
      <w:r>
        <w:t xml:space="preserve"> lévő): </w:t>
      </w:r>
    </w:p>
    <w:p w:rsidR="006A62C0" w:rsidRDefault="006A62C0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a faterméket alkotó fafajok származási (kitermelési) helye (legalább a származási ország szintjén), </w:t>
      </w:r>
    </w:p>
    <w:p w:rsidR="006A62C0" w:rsidRDefault="006A62C0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a fatermék egyedi azonosítása (választéka), a Kombinált Nómenklatúra</w:t>
      </w:r>
      <w:bookmarkStart w:id="0" w:name="_ftnref1"/>
      <w:r w:rsidR="00391BEC">
        <w:fldChar w:fldCharType="begin"/>
      </w:r>
      <w:r>
        <w:instrText xml:space="preserve"> HYPERLINK "http://portal.nebih.gov.hu/-/az-eutr-szerinti-kereskedokre-vonatkozo-nyilvantartasi-kotelezettsegek" \l "_ftn1" \o "" </w:instrText>
      </w:r>
      <w:r w:rsidR="00391BEC">
        <w:fldChar w:fldCharType="separate"/>
      </w:r>
      <w:r>
        <w:rPr>
          <w:rStyle w:val="Hiperhivatkozs"/>
          <w:vertAlign w:val="superscript"/>
        </w:rPr>
        <w:t>[1]</w:t>
      </w:r>
      <w:r w:rsidR="00391BEC">
        <w:fldChar w:fldCharType="end"/>
      </w:r>
      <w:bookmarkEnd w:id="0"/>
      <w:r>
        <w:t xml:space="preserve"> szerinti megnevezése, </w:t>
      </w:r>
    </w:p>
    <w:p w:rsidR="003012EC" w:rsidRDefault="006A62C0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amennyiben indokolt (nem szokványos fatermékről, ill. választékról van szó), a termék leírása (beleértve a termék kereskedelmi nevét és típusát), </w:t>
      </w:r>
    </w:p>
    <w:p w:rsidR="006A62C0" w:rsidRDefault="006A62C0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a faterméket alkotó fafajok közönséges vagy ennek hiányában teljes tudományos neve, </w:t>
      </w:r>
    </w:p>
    <w:p w:rsidR="006A62C0" w:rsidRDefault="006A62C0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az önálló termékként elkülöníthető fatermék mennyisége, mennyiségi egysége térfogatban (m</w:t>
      </w:r>
      <w:r>
        <w:rPr>
          <w:vertAlign w:val="superscript"/>
        </w:rPr>
        <w:t>3</w:t>
      </w:r>
      <w:r>
        <w:t xml:space="preserve">, űrméter), tömegben (kg, q, t) vagy darabszámban, </w:t>
      </w:r>
    </w:p>
    <w:p w:rsidR="003012EC" w:rsidRDefault="006A62C0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a nyilvántartás mértékegységének (tárolás, feldolgozás, ill. értékesítés során történő) változása esetén az egyes mértékegységek közötti átváltás, ill. az egyes fatermékek közötti átminősítés alapelvei, átváltó számai</w:t>
      </w:r>
      <w:r w:rsidR="003012EC">
        <w:t>,</w:t>
      </w:r>
    </w:p>
    <w:p w:rsidR="003012EC" w:rsidRDefault="003012EC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a kereskedő által végzett gyártási (átalakítási) folyamatról, a tárolás, csomagolás során történő állapotváltozásokról,</w:t>
      </w:r>
    </w:p>
    <w:p w:rsidR="006A62C0" w:rsidRDefault="003012EC" w:rsidP="006A62C0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tömegre történő értékesítés esetén a használt mérőeszközről és a mérés adatairól,</w:t>
      </w:r>
    </w:p>
    <w:p w:rsidR="00B611D8" w:rsidRDefault="00676A50" w:rsidP="00F95C4B">
      <w:pPr>
        <w:jc w:val="both"/>
      </w:pPr>
      <w:r>
        <w:t>A nyilvántartásoknak naprakésznek kell lenniük és</w:t>
      </w:r>
      <w:r w:rsidR="001738F3">
        <w:t xml:space="preserve"> alkalmasnak arra, hogy abból kiderüljön, a kereskedő egy tetszőleges időszakban kitől, mikor, milyen „típusú”, milyen m</w:t>
      </w:r>
      <w:r w:rsidR="00E9747A">
        <w:t>ennyiségű faterméke</w:t>
      </w:r>
      <w:r w:rsidR="00691C47">
        <w:t>ke</w:t>
      </w:r>
      <w:r w:rsidR="00E9747A">
        <w:t xml:space="preserve">t </w:t>
      </w:r>
      <w:r w:rsidR="00E9747A">
        <w:lastRenderedPageBreak/>
        <w:t>vásárolt</w:t>
      </w:r>
      <w:r>
        <w:t>, az</w:t>
      </w:r>
      <w:r w:rsidR="00691C47">
        <w:t>okat</w:t>
      </w:r>
      <w:r>
        <w:t xml:space="preserve"> hogyan dolgozta fel, majd milyen végső formában,</w:t>
      </w:r>
      <w:r w:rsidR="00691C47">
        <w:t xml:space="preserve"> milyen termékekként,</w:t>
      </w:r>
      <w:r>
        <w:t xml:space="preserve"> kinek adta tovább</w:t>
      </w:r>
      <w:r w:rsidR="00E9747A">
        <w:t xml:space="preserve">. </w:t>
      </w:r>
      <w:r w:rsidR="00691C47">
        <w:t xml:space="preserve">Hangsúlyozzuk, hogy nem az egyes bejövő és kimenő tételek egymásnak való pontos megfeleltetését kell elvégezni, hanem a kereskedelmi folyamat során a </w:t>
      </w:r>
      <w:proofErr w:type="spellStart"/>
      <w:r w:rsidR="00691C47">
        <w:t>bejövő-tárolt-kimenő</w:t>
      </w:r>
      <w:proofErr w:type="spellEnd"/>
      <w:r w:rsidR="00691C47">
        <w:t xml:space="preserve"> tételek összesített megfeleltetését. </w:t>
      </w:r>
      <w:r w:rsidR="00E9747A">
        <w:t xml:space="preserve">Erdei faválaszték (hengeres fa, tűzifa minden formában, </w:t>
      </w:r>
      <w:proofErr w:type="spellStart"/>
      <w:r w:rsidR="00E9747A">
        <w:t>apríték</w:t>
      </w:r>
      <w:proofErr w:type="spellEnd"/>
      <w:r w:rsidR="00E9747A">
        <w:t>)</w:t>
      </w:r>
      <w:r w:rsidR="001738F3">
        <w:t xml:space="preserve"> vásárláshoz</w:t>
      </w:r>
      <w:r w:rsidR="00E9747A">
        <w:t>, értékesítéséhez</w:t>
      </w:r>
      <w:r w:rsidR="001738F3">
        <w:t xml:space="preserve"> hozzá kell rendelni a fatermék mozgását kísérő szigorú számadású szállítójegyet is.</w:t>
      </w:r>
      <w:r>
        <w:t xml:space="preserve"> </w:t>
      </w:r>
      <w:r w:rsidRPr="00063806">
        <w:t xml:space="preserve">A vásárolt és eladott fatermékeket a Kombinált Nómenklatúra </w:t>
      </w:r>
      <w:r w:rsidR="000D1D4D" w:rsidRPr="00063806">
        <w:t xml:space="preserve">vagy a (jelenlegi vagy korábban hatályban volt) magyar szabványok </w:t>
      </w:r>
      <w:r w:rsidRPr="00063806">
        <w:t>szerinti megnevezéssel is be kell azonosítani.</w:t>
      </w:r>
    </w:p>
    <w:p w:rsidR="001738F3" w:rsidRDefault="001738F3" w:rsidP="00F95C4B">
      <w:pPr>
        <w:jc w:val="both"/>
      </w:pPr>
      <w:r>
        <w:t xml:space="preserve">Amennyiben a fatermék más országból származik, akkor a kereskedőnek kötelessége beszerezni a származást igazoló további dokumentumokat is, továbbá a külföldi partner nyilatkozatát </w:t>
      </w:r>
      <w:r w:rsidR="00C661CA">
        <w:t xml:space="preserve">(exportőri nyilatkozat) </w:t>
      </w:r>
      <w:r>
        <w:t>arra vonatkozóan, hogy a fatermék legális módon kitermelt faanyagból származik. Erről részletesen is olvashat itt:</w:t>
      </w:r>
    </w:p>
    <w:p w:rsidR="001738F3" w:rsidRDefault="00391BEC" w:rsidP="00F95C4B">
      <w:pPr>
        <w:jc w:val="both"/>
      </w:pPr>
      <w:hyperlink r:id="rId8" w:history="1">
        <w:r w:rsidR="001738F3" w:rsidRPr="001C3B0C">
          <w:rPr>
            <w:rStyle w:val="Hiperhivatkozs"/>
          </w:rPr>
          <w:t>http://portal.nebih.gov.hu/-/tajekoztatas-a-kulfoldi-fatermekek-behozatalat-kotelezoen-kisero-dokumentaciorol</w:t>
        </w:r>
      </w:hyperlink>
    </w:p>
    <w:p w:rsidR="001738F3" w:rsidRPr="00953FD5" w:rsidRDefault="00953FD5" w:rsidP="00F95C4B">
      <w:pPr>
        <w:jc w:val="both"/>
        <w:rPr>
          <w:b/>
        </w:rPr>
      </w:pPr>
      <w:r w:rsidRPr="00953FD5">
        <w:rPr>
          <w:b/>
        </w:rPr>
        <w:t>Amennyiben a kereskedő tevékenységét több telephelyen végzi, akkor a nyilvántartását az egyes telephelyek tekintetében elkülönítetten kell vezetnie.</w:t>
      </w:r>
    </w:p>
    <w:p w:rsidR="00157C61" w:rsidRDefault="00157C61" w:rsidP="00F95C4B">
      <w:pPr>
        <w:jc w:val="both"/>
      </w:pPr>
      <w:r>
        <w:t>Az adminisztratív és helyszíni ellenőrzések egyaránt rámutattak arra, hogy a hatósági nyilvántartásba bejelentkezett, EUTR technikai azonosítószámmal rendelkező faanyag kereskedelmi lánc szereplők esetében is igen gyakran megállapítható a nyilvántartás hiánya vagy annak nyomon követhetőség szempontjából fennálló nem megfelelőssége.</w:t>
      </w:r>
      <w:r w:rsidR="00E7548C">
        <w:t xml:space="preserve"> </w:t>
      </w:r>
      <w:r>
        <w:t>Az elsődlegesen tűzifa kereskedelmével foglalkozó cégek döntő</w:t>
      </w:r>
      <w:r w:rsidR="00B8489E">
        <w:t>e</w:t>
      </w:r>
      <w:r>
        <w:t>n a meglévő papíralapú dokumentumokra és a könyvelő által készített, a számvitel szabályai szerint vezetett nyilvántartásokra kívánnak támaszkodni. Külön nyilvántartást a nyomon követhetőség érdekében nem vezetnek, mert tartanak annak bonyolultságától</w:t>
      </w:r>
      <w:r w:rsidR="00E7548C">
        <w:t>.</w:t>
      </w:r>
    </w:p>
    <w:p w:rsidR="00A7632E" w:rsidRDefault="00E7548C" w:rsidP="00F95C4B">
      <w:pPr>
        <w:jc w:val="both"/>
      </w:pPr>
      <w:r>
        <w:t>Az alábbiakban egy egyszerű példán ker</w:t>
      </w:r>
      <w:r w:rsidR="00394CE6">
        <w:t xml:space="preserve">esztül szeretnénk szemléltetni </w:t>
      </w:r>
      <w:r>
        <w:t>egy tűzifa telep működésének lehetséges nyilvántartási elem</w:t>
      </w:r>
      <w:r w:rsidR="00DA157E">
        <w:t>ei</w:t>
      </w:r>
      <w:r>
        <w:t xml:space="preserve">t. </w:t>
      </w:r>
    </w:p>
    <w:p w:rsidR="005E1792" w:rsidRDefault="005E1792" w:rsidP="00F95C4B">
      <w:pPr>
        <w:jc w:val="both"/>
        <w:sectPr w:rsidR="005E1792" w:rsidSect="00E754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632E" w:rsidRDefault="00C50766" w:rsidP="00C50766">
      <w:pPr>
        <w:ind w:right="-32"/>
        <w:jc w:val="both"/>
        <w:sectPr w:rsidR="00A7632E" w:rsidSect="00A7632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C50766">
        <w:rPr>
          <w:noProof/>
          <w:lang w:eastAsia="hu-HU"/>
        </w:rPr>
        <w:lastRenderedPageBreak/>
        <w:drawing>
          <wp:inline distT="0" distB="0" distL="0" distR="0">
            <wp:extent cx="8891270" cy="5633794"/>
            <wp:effectExtent l="19050" t="0" r="508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63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2E" w:rsidRDefault="00C06F90" w:rsidP="00F95C4B">
      <w:pPr>
        <w:jc w:val="both"/>
      </w:pPr>
      <w:r>
        <w:lastRenderedPageBreak/>
        <w:t>A fejlécben szerepel a nyilvántartást vezető faanyag kereskedelmi lánc szereplő cég neve, a hatóságtól kapott EUTR technikai azonosító száma, melynek hiányába</w:t>
      </w:r>
      <w:r w:rsidR="003D0927">
        <w:t>n</w:t>
      </w:r>
      <w:r>
        <w:t xml:space="preserve"> ez a fajta tevékenység nem végezhető.</w:t>
      </w:r>
    </w:p>
    <w:p w:rsidR="003C60FB" w:rsidRDefault="00C06F90" w:rsidP="00F95C4B">
      <w:pPr>
        <w:jc w:val="both"/>
        <w:rPr>
          <w:u w:val="single"/>
        </w:rPr>
      </w:pPr>
      <w:r w:rsidRPr="00B8489E">
        <w:rPr>
          <w:u w:val="single"/>
        </w:rPr>
        <w:t>A n</w:t>
      </w:r>
      <w:r w:rsidR="0079034C">
        <w:rPr>
          <w:u w:val="single"/>
        </w:rPr>
        <w:t>yilvántartás meghatározza</w:t>
      </w:r>
      <w:r w:rsidRPr="00B8489E">
        <w:rPr>
          <w:u w:val="single"/>
        </w:rPr>
        <w:t xml:space="preserve"> a konkrét telephelyet, ahol </w:t>
      </w:r>
      <w:r w:rsidR="003C60FB">
        <w:rPr>
          <w:u w:val="single"/>
        </w:rPr>
        <w:t xml:space="preserve">biztosítani kell, hogy </w:t>
      </w:r>
      <w:r w:rsidRPr="00B8489E">
        <w:rPr>
          <w:u w:val="single"/>
        </w:rPr>
        <w:t xml:space="preserve">a nyilvántartásban szereplő </w:t>
      </w:r>
      <w:r w:rsidR="003C60FB">
        <w:rPr>
          <w:u w:val="single"/>
        </w:rPr>
        <w:t xml:space="preserve">fatermék típusok és azok mennyiségi egységei (mértékegységei), valamint az ezekhez rendelt konkrét </w:t>
      </w:r>
      <w:r w:rsidRPr="00B8489E">
        <w:rPr>
          <w:u w:val="single"/>
        </w:rPr>
        <w:t xml:space="preserve">mennyiségek </w:t>
      </w:r>
      <w:r w:rsidR="003C60FB">
        <w:rPr>
          <w:u w:val="single"/>
        </w:rPr>
        <w:t xml:space="preserve">egyértelműen beazonosíthatóak </w:t>
      </w:r>
      <w:r w:rsidR="0079034C">
        <w:rPr>
          <w:u w:val="single"/>
        </w:rPr>
        <w:t xml:space="preserve">legyenek </w:t>
      </w:r>
      <w:r w:rsidRPr="00B8489E">
        <w:rPr>
          <w:u w:val="single"/>
        </w:rPr>
        <w:t xml:space="preserve">a telephelyen ténylegesen megtalálható </w:t>
      </w:r>
      <w:r w:rsidR="003C60FB">
        <w:rPr>
          <w:u w:val="single"/>
        </w:rPr>
        <w:t>fatermék készletek ugyanezen jellemzőivel.</w:t>
      </w:r>
    </w:p>
    <w:p w:rsidR="00A25D30" w:rsidRDefault="00A25D30" w:rsidP="00F95C4B">
      <w:pPr>
        <w:jc w:val="both"/>
      </w:pPr>
    </w:p>
    <w:p w:rsidR="00394CE6" w:rsidRPr="00394CE6" w:rsidRDefault="00394CE6" w:rsidP="00F95C4B">
      <w:pPr>
        <w:jc w:val="both"/>
        <w:rPr>
          <w:b/>
        </w:rPr>
      </w:pPr>
      <w:r w:rsidRPr="00394CE6">
        <w:rPr>
          <w:b/>
        </w:rPr>
        <w:t>Beszállítás:</w:t>
      </w:r>
    </w:p>
    <w:p w:rsidR="00C661CA" w:rsidRDefault="00A25D30" w:rsidP="00F95C4B">
      <w:pPr>
        <w:jc w:val="both"/>
      </w:pPr>
      <w:r>
        <w:t xml:space="preserve">A beszállítások esetében fontos, hogy rögzítésre kerüljön a pontos dátum. Később, a hatóság kérésére ez alapján szűrhető a nyilvántartás </w:t>
      </w:r>
      <w:r w:rsidR="00C661CA">
        <w:t>egy</w:t>
      </w:r>
      <w:r>
        <w:t xml:space="preserve"> konkrét időszakra. A következő adatkör a beszállító cég neve, székhelye. Egyes cégek külön ügyfélnyilvántartást vezethetnek, amikor is a két külön nyilvántartás</w:t>
      </w:r>
      <w:r w:rsidR="0079034C">
        <w:t>t</w:t>
      </w:r>
      <w:r>
        <w:t xml:space="preserve"> egy „ügyfélkód”</w:t>
      </w:r>
      <w:r w:rsidR="00B8489E">
        <w:t xml:space="preserve"> vagy egyes bizonylatok azonosító adatai kapcsolhatják</w:t>
      </w:r>
      <w:r>
        <w:t xml:space="preserve"> össze. Kisebb cégeknél javasolt egyben tárolni a szükséges adatköröket. </w:t>
      </w:r>
    </w:p>
    <w:p w:rsidR="00A25D30" w:rsidRPr="00B8489E" w:rsidRDefault="00A25D30" w:rsidP="00F95C4B">
      <w:pPr>
        <w:jc w:val="both"/>
        <w:rPr>
          <w:b/>
        </w:rPr>
      </w:pPr>
      <w:r w:rsidRPr="00A25D30">
        <w:t xml:space="preserve">Az a természetes személy vagy gazdálkodó szervezet, </w:t>
      </w:r>
      <w:proofErr w:type="gramStart"/>
      <w:r w:rsidRPr="00A25D30">
        <w:t>aki</w:t>
      </w:r>
      <w:proofErr w:type="gramEnd"/>
      <w:r w:rsidRPr="00A25D30">
        <w:t xml:space="preserve"> vagy amely a faanyag kereskedelmi lánchoz tartozó tevékenységek valamelyikét Magyarország területén végzi, köteles a tevékenység megkezdése előtt</w:t>
      </w:r>
      <w:r>
        <w:t xml:space="preserve"> az EUTR regisztrációs számot megszerezni. Ez</w:t>
      </w:r>
      <w:r w:rsidR="00AD4ECE">
        <w:t>t a nyilvántartásban fel kell tü</w:t>
      </w:r>
      <w:r>
        <w:t xml:space="preserve">ntetni. </w:t>
      </w:r>
      <w:r w:rsidRPr="00B8489E">
        <w:rPr>
          <w:b/>
        </w:rPr>
        <w:t>Ne vásároljunk fát attól a beszállítótól, aki nem rendelkezik ilyen azonosítóval.</w:t>
      </w:r>
    </w:p>
    <w:p w:rsidR="00A25D30" w:rsidRDefault="00A25D30" w:rsidP="00F95C4B">
      <w:pPr>
        <w:jc w:val="both"/>
      </w:pPr>
      <w:r>
        <w:t>Az EUTR regisztrációs</w:t>
      </w:r>
      <w:r w:rsidRPr="00A25D30">
        <w:t xml:space="preserve"> kötelezettség nem vonatkozik azon erdőgazdálkodóra, aki kizárólag Magyarország területén végzett erdőgazdálkodási tevékenysége keretében erdei faválasztékok előállítását és értékesítését végzi.</w:t>
      </w:r>
      <w:r>
        <w:t xml:space="preserve"> Ebben az esetben a nyilvántartásba a beszállító erdőgazdálkodói kódját (</w:t>
      </w:r>
      <w:proofErr w:type="spellStart"/>
      <w:r>
        <w:t>EGE</w:t>
      </w:r>
      <w:r w:rsidR="000376AA">
        <w:t>-</w:t>
      </w:r>
      <w:r>
        <w:t>kód</w:t>
      </w:r>
      <w:proofErr w:type="spellEnd"/>
      <w:r>
        <w:t>) kell felvezetni. Az adószám, adóazonosító jel</w:t>
      </w:r>
      <w:r w:rsidR="00F60278">
        <w:t>, EKÁER szám</w:t>
      </w:r>
      <w:r>
        <w:t xml:space="preserve"> feltüntetése nem kötelező, de nagyban növeli a nyilvántartás hatékonyságát az azt vezető cég számára. Később ezekre az azonosítókra is szűrhet</w:t>
      </w:r>
      <w:r w:rsidR="00F60278">
        <w:t>ő, ellenőrizhető</w:t>
      </w:r>
      <w:r w:rsidR="00B8489E">
        <w:t xml:space="preserve"> a nyilvántartás</w:t>
      </w:r>
      <w:r w:rsidR="00F60278">
        <w:t xml:space="preserve"> például a számlázást vagy szállítmányozást végző alkalmazottak számára.</w:t>
      </w:r>
    </w:p>
    <w:p w:rsidR="00C661CA" w:rsidRDefault="00F60278" w:rsidP="00F95C4B">
      <w:pPr>
        <w:jc w:val="both"/>
      </w:pPr>
      <w:r>
        <w:t xml:space="preserve">Erdei faválaszték kizárólag szigorú számadású szállítójeggyel szállítható. A külföldi felrakodású faanyag az első Magyarországi lerakóig, átrakodási pontig szállítható a nemzetközi forgalomban érvényes fuvarokmányokkal és a korábban már jelzett </w:t>
      </w:r>
      <w:r w:rsidR="000376AA">
        <w:t xml:space="preserve">származási </w:t>
      </w:r>
      <w:r>
        <w:t>dokumentációval</w:t>
      </w:r>
      <w:r w:rsidR="000376AA">
        <w:t xml:space="preserve"> és exportőri nyilatkozattal</w:t>
      </w:r>
      <w:r>
        <w:t xml:space="preserve">. </w:t>
      </w:r>
    </w:p>
    <w:p w:rsidR="00F60278" w:rsidRDefault="00CC607B" w:rsidP="00F95C4B">
      <w:pPr>
        <w:jc w:val="both"/>
      </w:pPr>
      <w:r>
        <w:rPr>
          <w:b/>
        </w:rPr>
        <w:t>Belföldi forgalomban ne</w:t>
      </w:r>
      <w:r w:rsidR="00F60278" w:rsidRPr="00B8489E">
        <w:rPr>
          <w:b/>
        </w:rPr>
        <w:t xml:space="preserve"> vegyünk át olyan faterméket a beszállítótól, melyet nem kísér szállítójegy. </w:t>
      </w:r>
      <w:r w:rsidR="00C661CA">
        <w:t xml:space="preserve">A szállítójegy </w:t>
      </w:r>
      <w:r w:rsidR="00F60278">
        <w:t>adatait mindenkor ve</w:t>
      </w:r>
      <w:r w:rsidR="00B8489E">
        <w:t>zessük be a nyilvántartásunkba, legalább olyan részletezettséggel, mint a</w:t>
      </w:r>
      <w:r w:rsidR="001B3D99">
        <w:t>hogy</w:t>
      </w:r>
      <w:r w:rsidR="00B8489E">
        <w:t xml:space="preserve"> </w:t>
      </w:r>
      <w:r w:rsidR="001B3D99">
        <w:t xml:space="preserve">a </w:t>
      </w:r>
      <w:r w:rsidR="009E170C">
        <w:t>szállítójegy</w:t>
      </w:r>
      <w:r w:rsidR="001B3D99">
        <w:t>en szerepel</w:t>
      </w:r>
      <w:r w:rsidR="009E170C">
        <w:t xml:space="preserve">. Példánkban a kamion egy fuvarban hoz 10 m3 gyertyán és 13 m3 bükk tűzifát. Ezeket két </w:t>
      </w:r>
      <w:r w:rsidR="001B3D99">
        <w:t xml:space="preserve">külön </w:t>
      </w:r>
      <w:r w:rsidR="009E170C">
        <w:t>sor</w:t>
      </w:r>
      <w:r w:rsidR="001B3D99">
        <w:t>ban</w:t>
      </w:r>
      <w:r w:rsidR="009E170C">
        <w:t xml:space="preserve"> </w:t>
      </w:r>
      <w:r w:rsidR="00C661CA">
        <w:t xml:space="preserve">érdemes </w:t>
      </w:r>
      <w:r w:rsidR="009E170C">
        <w:t xml:space="preserve">nyilvántartásba venni a későbbi nyomon követhetőség érdekében. Átvételkor ellenőrizzük, hogy a szállított faanyag mennyisége, </w:t>
      </w:r>
      <w:proofErr w:type="gramStart"/>
      <w:r w:rsidR="009E170C">
        <w:t>fafaja(</w:t>
      </w:r>
      <w:proofErr w:type="gramEnd"/>
      <w:r w:rsidR="009E170C">
        <w:t>i) megegyeznek a szállító</w:t>
      </w:r>
      <w:r w:rsidR="0093260B">
        <w:t>jegyen</w:t>
      </w:r>
      <w:r w:rsidR="00AD4ECE">
        <w:t xml:space="preserve"> feltü</w:t>
      </w:r>
      <w:r w:rsidR="009E170C">
        <w:t xml:space="preserve">ntetekkel. Ha a szállítójegyen </w:t>
      </w:r>
      <w:r w:rsidR="001B3D99">
        <w:t>2</w:t>
      </w:r>
      <w:r w:rsidR="009E170C">
        <w:t xml:space="preserve"> méteres bükk tűzifa szerepel, ne vegyünk át méteres kőrist, mert később nem fogjuk tudni igazolni annak eredetét.</w:t>
      </w:r>
    </w:p>
    <w:p w:rsidR="00F60278" w:rsidRDefault="00F60278" w:rsidP="00F95C4B">
      <w:pPr>
        <w:jc w:val="both"/>
      </w:pPr>
    </w:p>
    <w:p w:rsidR="00F60278" w:rsidRDefault="00F60278" w:rsidP="00F95C4B">
      <w:pPr>
        <w:jc w:val="both"/>
      </w:pPr>
      <w:r>
        <w:lastRenderedPageBreak/>
        <w:t xml:space="preserve">A kereskedelmi ügyletek sajátossága, hogy az áru mozgását azonnal vagy időben kissé elkülönülten, de a kapcsolódó pénzmozgást dokumentáló bizonylat kíséri. A példaként bemutatott táblázat alkalmas az áru és pénzmozgás összekapcsolására, nem </w:t>
      </w:r>
      <w:r w:rsidR="00BA0CD2">
        <w:t xml:space="preserve">kell azt később, a dokumentumok fizikai egymáshoz rendelésével elvégezni. Ez egyébként is nehézkes lenne, ha egy számlán több különböző tétel van, vagy korábbi időszakban beszállított több tétel gyűjtőszámlája. </w:t>
      </w:r>
    </w:p>
    <w:p w:rsidR="00BA0CD2" w:rsidRDefault="00BA0CD2" w:rsidP="00F95C4B">
      <w:pPr>
        <w:jc w:val="both"/>
      </w:pPr>
      <w:r>
        <w:t>A példában szereplő cég kizárólag erdei faválasztékot vásárol, így a termékmegnevezés a fafaj beazonosítására korlátozód</w:t>
      </w:r>
      <w:r w:rsidR="00FB1F37">
        <w:t>hat, mivel a KN kód szerinti választék külön feltüntetésre kerül</w:t>
      </w:r>
      <w:r>
        <w:t>.</w:t>
      </w:r>
      <w:r w:rsidR="000D1D4D">
        <w:t xml:space="preserve"> A fafaj megjelölésénél</w:t>
      </w:r>
      <w:r>
        <w:t xml:space="preserve"> nem használhatóak gyűjtő nevek, mint például „tölgy”</w:t>
      </w:r>
      <w:r w:rsidR="00FB1F37">
        <w:t>, „fenyő”</w:t>
      </w:r>
      <w:r>
        <w:t xml:space="preserve"> vagy „vegyes tűzifa”. A jogszabályokban szereplő nevezéktant lehet csak használni, mint például </w:t>
      </w:r>
      <w:r w:rsidR="009E170C">
        <w:t>„</w:t>
      </w:r>
      <w:r>
        <w:t>kocsányos tölgy</w:t>
      </w:r>
      <w:r w:rsidR="009E170C">
        <w:t>”</w:t>
      </w:r>
      <w:r>
        <w:t>, „kemény lombos tűzifa”</w:t>
      </w:r>
      <w:r w:rsidR="007A1966">
        <w:t>, de az utóbbi, gyűjtő fogalom esetében is meg kell adni az azt alkotó fafajok felsorolását</w:t>
      </w:r>
      <w:r w:rsidR="00DE0C41">
        <w:t xml:space="preserve"> egy mezőn belül (pl</w:t>
      </w:r>
      <w:r w:rsidR="00FB1F37">
        <w:t>.</w:t>
      </w:r>
      <w:r w:rsidR="00DE0C41">
        <w:t>: KTT</w:t>
      </w:r>
      <w:proofErr w:type="gramStart"/>
      <w:r w:rsidR="00DE0C41">
        <w:t>,B</w:t>
      </w:r>
      <w:proofErr w:type="gramEnd"/>
      <w:r w:rsidR="00DE0C41">
        <w:t>,GY).</w:t>
      </w:r>
    </w:p>
    <w:p w:rsidR="00BA0CD2" w:rsidRDefault="00BA0CD2" w:rsidP="00F95C4B">
      <w:pPr>
        <w:jc w:val="both"/>
      </w:pPr>
      <w:r>
        <w:t>A mennyiség</w:t>
      </w:r>
      <w:r w:rsidR="007A1966">
        <w:t xml:space="preserve"> és mértékegység</w:t>
      </w:r>
      <w:r>
        <w:t xml:space="preserve"> rovatban mindig a tényleges, a szállítóje</w:t>
      </w:r>
      <w:r w:rsidR="00136C5F">
        <w:t>gyen, fuvarokmányon szereplő</w:t>
      </w:r>
      <w:r>
        <w:t xml:space="preserve"> mennyiség</w:t>
      </w:r>
      <w:r w:rsidR="007A1966">
        <w:t xml:space="preserve"> és mértékegység</w:t>
      </w:r>
      <w:r>
        <w:t xml:space="preserve"> kerüljön feltüntetésre. A hengeres fa feldolgozása és kalodás/hálós termék előállítása is dokumentálható</w:t>
      </w:r>
      <w:r w:rsidR="00136C5F">
        <w:t xml:space="preserve"> a cég rendszerében, ekkor azonban az egyes termékekhez hozzá kell rendelni, </w:t>
      </w:r>
      <w:r w:rsidR="00FB1F37">
        <w:t>milyen fafajú és</w:t>
      </w:r>
      <w:r w:rsidR="00DE0C41">
        <w:t xml:space="preserve"> hány köbméter</w:t>
      </w:r>
      <w:r w:rsidR="00632E6F">
        <w:t xml:space="preserve"> alap</w:t>
      </w:r>
      <w:r w:rsidR="00136C5F">
        <w:t>anyag található meg bennük.</w:t>
      </w:r>
    </w:p>
    <w:p w:rsidR="00632E6F" w:rsidRDefault="00632E6F" w:rsidP="00F95C4B">
      <w:pPr>
        <w:jc w:val="both"/>
      </w:pPr>
      <w:r w:rsidRPr="009E170C">
        <w:rPr>
          <w:b/>
        </w:rPr>
        <w:t>A mértékegység pontos, szakszerű meghatározása és következetes alkalmazása a nyilvántartás kulcsfontosságú része!</w:t>
      </w:r>
      <w:r>
        <w:t xml:space="preserve"> Lehet 10 </w:t>
      </w:r>
      <w:r w:rsidR="007A1966">
        <w:t xml:space="preserve">tömör </w:t>
      </w:r>
      <w:r>
        <w:t xml:space="preserve">m3 alapanyagból 20 </w:t>
      </w:r>
      <w:r w:rsidR="00FB1F37">
        <w:t xml:space="preserve">űrméter </w:t>
      </w:r>
      <w:r>
        <w:t>konyhakész hasított tűzifát előállítani és értékesíteni, csak ebben az esetben a cég dokumentációs rendszere az átváltásokról és maguk a mértékegységek is pontosan jelezzék</w:t>
      </w:r>
      <w:r w:rsidR="009E170C">
        <w:t xml:space="preserve"> (különítsék el)</w:t>
      </w:r>
      <w:r>
        <w:t xml:space="preserve"> azt, hogy a beszerzés tömör köbméterben</w:t>
      </w:r>
      <w:r w:rsidR="007A1966">
        <w:t>,</w:t>
      </w:r>
      <w:r>
        <w:t xml:space="preserve"> az értékesítés pedig </w:t>
      </w:r>
      <w:r w:rsidR="00DE0C41">
        <w:t>űrméterben</w:t>
      </w:r>
      <w:r>
        <w:t xml:space="preserve"> történik</w:t>
      </w:r>
      <w:r w:rsidR="00DE0C41">
        <w:t xml:space="preserve"> (pl. kisteherautó platójára felszórt hasított tűzifa)</w:t>
      </w:r>
      <w:r>
        <w:t>, ahol az alkalmazott átváltási tényező</w:t>
      </w:r>
      <w:r w:rsidR="007A1966">
        <w:t>t, jelen esetben</w:t>
      </w:r>
      <w:r>
        <w:t xml:space="preserve"> 2 </w:t>
      </w:r>
      <w:r w:rsidR="007A1966">
        <w:t>űrméter</w:t>
      </w:r>
      <w:r>
        <w:t xml:space="preserve"> egyenlő 1 tömör köbméterrel</w:t>
      </w:r>
      <w:r w:rsidR="007A1966">
        <w:t>, fel kell tüntetni</w:t>
      </w:r>
      <w:r>
        <w:t>. A kalodás, hálós termékeket nem minden esetben kell tömör köbméterre visszaszámolni, ha azokat készen előállítva vásároljuk</w:t>
      </w:r>
      <w:r w:rsidR="00FB1F37">
        <w:t xml:space="preserve">, és </w:t>
      </w:r>
      <w:r w:rsidR="007A1966">
        <w:t xml:space="preserve">azok befoglaló méretei, rendezettsége alapján a tömör köbméterre való átszámításuk módját </w:t>
      </w:r>
      <w:r w:rsidR="00BC0661">
        <w:t>rögzítjük.</w:t>
      </w:r>
      <w:r>
        <w:t xml:space="preserve"> Ebben az esetben bevételezhetőek és értékesíthetőek darabra is</w:t>
      </w:r>
      <w:r w:rsidR="00C0302F">
        <w:t xml:space="preserve">, azonban a </w:t>
      </w:r>
      <w:r w:rsidR="00BC0661">
        <w:t xml:space="preserve">termékben fellelhető </w:t>
      </w:r>
      <w:r w:rsidR="00C0302F">
        <w:t>fafaj</w:t>
      </w:r>
      <w:r w:rsidR="00BC0661">
        <w:t>oka</w:t>
      </w:r>
      <w:r w:rsidR="00C0302F">
        <w:t xml:space="preserve">t </w:t>
      </w:r>
      <w:r w:rsidR="006A62C0">
        <w:t>ebben</w:t>
      </w:r>
      <w:r w:rsidR="00BC0661">
        <w:t xml:space="preserve"> az</w:t>
      </w:r>
      <w:r w:rsidR="00C0302F">
        <w:t xml:space="preserve"> esetben</w:t>
      </w:r>
      <w:r w:rsidR="00BC0661">
        <w:t xml:space="preserve"> is mindig </w:t>
      </w:r>
      <w:r w:rsidR="00C0302F">
        <w:t>fel kell tüntetni</w:t>
      </w:r>
      <w:r>
        <w:t>.</w:t>
      </w:r>
    </w:p>
    <w:p w:rsidR="00632E6F" w:rsidRDefault="00632E6F" w:rsidP="00F95C4B">
      <w:pPr>
        <w:jc w:val="both"/>
      </w:pPr>
      <w:r>
        <w:t>A tömegre történő vásárlásnak</w:t>
      </w:r>
      <w:r w:rsidR="009E7E56">
        <w:t>, vagy</w:t>
      </w:r>
      <w:r>
        <w:t xml:space="preserve"> értékesítésnek egyaránt jelentős kockázata van</w:t>
      </w:r>
      <w:r w:rsidR="00884982">
        <w:t>,</w:t>
      </w:r>
      <w:r>
        <w:t xml:space="preserve"> és a vásárlói szokások átalakulásával (a tudatos fogyasztói magatartás erősödésével) piaci hátrányt is eredményezhet. Ettől függetlenül nem tiltott a kilogramm, mázsa, tonna mértékegységek használata. </w:t>
      </w:r>
      <w:r w:rsidR="009E7E56">
        <w:t xml:space="preserve">Amennyiben </w:t>
      </w:r>
      <w:r>
        <w:t>azonban</w:t>
      </w:r>
      <w:r w:rsidR="009E7E56">
        <w:t xml:space="preserve"> a vásárlás, vagy értékesítés térfogategységben történik,</w:t>
      </w:r>
      <w:r>
        <w:t xml:space="preserve"> a tömör köbméterre történő átváltás </w:t>
      </w:r>
      <w:r w:rsidRPr="00632E6F">
        <w:rPr>
          <w:u w:val="single"/>
        </w:rPr>
        <w:t>életszerű</w:t>
      </w:r>
      <w:r w:rsidRPr="009B21BE">
        <w:t xml:space="preserve"> </w:t>
      </w:r>
      <w:r>
        <w:t>szabályait a cégnek magának kell megalkotnia és folyamatosan felülvizsgálnia.</w:t>
      </w:r>
    </w:p>
    <w:p w:rsidR="003E2451" w:rsidRDefault="003E2451" w:rsidP="00F95C4B">
      <w:pPr>
        <w:jc w:val="both"/>
      </w:pPr>
      <w:r>
        <w:t xml:space="preserve">A fát és faterméket piaci forgalomba bocsátó piaci szereplők kötelezettségeinek meghatározásáról szóló 995/2010/EU európai parlamenti és tanácsi rendelet 1. számú melléklete tartalmazza a Kombinált Nómenklatúrában besorolt fa és fatermékek felsorolását. A példánkban szereplő cég </w:t>
      </w:r>
      <w:r w:rsidR="005A4E05">
        <w:t xml:space="preserve">egyszerű működése </w:t>
      </w:r>
      <w:r>
        <w:t>esetében a 4401 és 4403 kat</w:t>
      </w:r>
      <w:r w:rsidR="00706422">
        <w:t xml:space="preserve">egóriák jöhetnek </w:t>
      </w:r>
      <w:r w:rsidR="005A4E05">
        <w:t xml:space="preserve">csak </w:t>
      </w:r>
      <w:r w:rsidR="00706422">
        <w:t xml:space="preserve">számításba. </w:t>
      </w:r>
    </w:p>
    <w:p w:rsidR="00A7632E" w:rsidRDefault="00706422" w:rsidP="00F95C4B">
      <w:pPr>
        <w:jc w:val="both"/>
      </w:pPr>
      <w:r>
        <w:t>A beszállításra kerülő faanyag eredet</w:t>
      </w:r>
      <w:r w:rsidR="00425995">
        <w:t xml:space="preserve">e alatt minden esetben </w:t>
      </w:r>
      <w:r w:rsidR="004C6556">
        <w:t>annak kitermelési helyét, nem pedig a b</w:t>
      </w:r>
      <w:r w:rsidR="009B21BE">
        <w:t>eszállítást megelőző felrakodás</w:t>
      </w:r>
      <w:r w:rsidR="004C6556">
        <w:t xml:space="preserve"> helyét kell érteni, és az eredetet</w:t>
      </w:r>
      <w:r w:rsidR="00884982">
        <w:t xml:space="preserve"> </w:t>
      </w:r>
      <w:r>
        <w:t xml:space="preserve">legalább ország szintjén nyilván kell tartani. Import (bármely </w:t>
      </w:r>
      <w:r w:rsidR="004C6556">
        <w:t>külföldről, akár uniós tagországból</w:t>
      </w:r>
      <w:r>
        <w:t xml:space="preserve"> </w:t>
      </w:r>
      <w:r w:rsidR="004C6556">
        <w:t>történő behozatal</w:t>
      </w:r>
      <w:r>
        <w:t>) esetében a nyilvántartásba célszerű felvezetni az áru mozgását kísé</w:t>
      </w:r>
      <w:r w:rsidR="009B21BE">
        <w:t xml:space="preserve">rő </w:t>
      </w:r>
      <w:r>
        <w:t>eredetigazolási dokumentumokat és az exportőri nyilatkozat azonosító adatait is.</w:t>
      </w:r>
    </w:p>
    <w:p w:rsidR="00A7632E" w:rsidRPr="00394CE6" w:rsidRDefault="00394CE6" w:rsidP="00F95C4B">
      <w:pPr>
        <w:jc w:val="both"/>
        <w:rPr>
          <w:b/>
        </w:rPr>
      </w:pPr>
      <w:r w:rsidRPr="00394CE6">
        <w:rPr>
          <w:b/>
        </w:rPr>
        <w:lastRenderedPageBreak/>
        <w:t>Kiszállítás- Értékesítés</w:t>
      </w:r>
    </w:p>
    <w:p w:rsidR="00A7632E" w:rsidRDefault="00394CE6" w:rsidP="00F95C4B">
      <w:pPr>
        <w:jc w:val="both"/>
      </w:pPr>
      <w:r>
        <w:t xml:space="preserve">Ha az értékesítés központilag történik, a faanyag mozgását akkor is telephelyenként le kell követni a nyilvántartásban. A beszállításnál már kirészletezetteken túl különös figyelmet kell fordítani arra, hogy a nyilvántartás </w:t>
      </w:r>
      <w:proofErr w:type="spellStart"/>
      <w:r w:rsidR="009B21BE">
        <w:t>beszállítás-készlet</w:t>
      </w:r>
      <w:r w:rsidR="006A62C0">
        <w:t>-kiszállítás</w:t>
      </w:r>
      <w:proofErr w:type="spellEnd"/>
      <w:r w:rsidR="006A62C0">
        <w:t xml:space="preserve"> </w:t>
      </w:r>
      <w:r>
        <w:t>egyes elemei „zárjanak”, vagyis azokból egyértelműen és nem csak feltételezhető módon derüljön</w:t>
      </w:r>
      <w:r w:rsidR="006A62C0">
        <w:t xml:space="preserve"> ki</w:t>
      </w:r>
      <w:r>
        <w:t>, hogy „miből mi lett</w:t>
      </w:r>
      <w:r w:rsidR="006A62C0">
        <w:t>, mivé alakult át</w:t>
      </w:r>
      <w:r>
        <w:t>”. Az átalakítási folyamatokat, az esetleges mértékegység változást és a kapcsolódó átváltási szabályokat előre le kell fektetni, dokumentálni kell.</w:t>
      </w:r>
    </w:p>
    <w:p w:rsidR="00394CE6" w:rsidRDefault="00394CE6" w:rsidP="00F95C4B">
      <w:pPr>
        <w:jc w:val="both"/>
      </w:pPr>
      <w:r>
        <w:t>Ha például valaki tömör köbméterben vásárolja az alapanyagot, majd különböző méretű kalodákat készít, melyekben egyes típusnál kézzel van rakva a fa, másoknál csak ömlesztve, akkor már az „eladó térben” világossá kell tenni a vás</w:t>
      </w:r>
      <w:r w:rsidR="009B21BE">
        <w:t>árlók (és a hatóság) számára is az egyes kalodás pontos méreteit és azt, hogy</w:t>
      </w:r>
      <w:r>
        <w:t xml:space="preserve"> mely</w:t>
      </w:r>
      <w:r w:rsidR="00B609F1">
        <w:t>ik</w:t>
      </w:r>
      <w:r>
        <w:t xml:space="preserve"> kaloda mennyi tömör köbméterre visszaszámolt</w:t>
      </w:r>
      <w:r w:rsidR="009B21BE">
        <w:t xml:space="preserve"> faanyag mennyiséget tartalmaz.</w:t>
      </w:r>
    </w:p>
    <w:p w:rsidR="00394CE6" w:rsidRDefault="00394CE6" w:rsidP="00F95C4B">
      <w:pPr>
        <w:jc w:val="both"/>
      </w:pPr>
      <w:r>
        <w:t>A végfogyasztóknak történő értékesítéskor a legtöbb esetben nem készül készpénzfizetési számla</w:t>
      </w:r>
      <w:r w:rsidR="00F3751D">
        <w:t>,</w:t>
      </w:r>
      <w:r>
        <w:t xml:space="preserve"> csak pénztárgép</w:t>
      </w:r>
      <w:r w:rsidR="00DF04E6">
        <w:t>-</w:t>
      </w:r>
      <w:r>
        <w:t xml:space="preserve">bizonylat kerül átadásra. </w:t>
      </w:r>
      <w:r w:rsidR="00521284">
        <w:t>Nagyon ajánlott, hogy a pénztárgép gyűjtői már úgy kerüljenek beállításra, hogy a tűzifa elkülöníthető legyen más, azonos áfa-kulcsú termékektől, például a</w:t>
      </w:r>
      <w:r w:rsidR="005A4E05">
        <w:t>z építőanyagoktól. A t</w:t>
      </w:r>
      <w:r w:rsidR="00521284">
        <w:t xml:space="preserve">ovábbi </w:t>
      </w:r>
      <w:r w:rsidR="009B21BE">
        <w:t xml:space="preserve">termék szerinti </w:t>
      </w:r>
      <w:r w:rsidR="00521284">
        <w:t>bontás is nagyban meg tudja könnyíteni a későbbi nyilvántartás vezetést. Például célszerű fafajonként külön gyűjtőt alkalmazni, ha a telep konzekvensen egy fafajú tűzifát, különböző árakon értékesít. A kalodás, hálós, szórt árut szintén érdemes különválasztani. Így a pénztárgép időszaki (pl</w:t>
      </w:r>
      <w:r w:rsidR="005A4E05">
        <w:t>.</w:t>
      </w:r>
      <w:r w:rsidR="00521284">
        <w:t xml:space="preserve"> napi) összesítő funkciói is segítségünkre lesznek a készletmozgások nyomon követésében.</w:t>
      </w:r>
    </w:p>
    <w:p w:rsidR="00A7632E" w:rsidRDefault="005A4E05" w:rsidP="00F95C4B">
      <w:pPr>
        <w:jc w:val="both"/>
      </w:pPr>
      <w:r>
        <w:t xml:space="preserve">További, részletes információk találhatók a </w:t>
      </w:r>
      <w:r w:rsidRPr="005A4E05">
        <w:rPr>
          <w:color w:val="0F243E" w:themeColor="text2" w:themeShade="80"/>
        </w:rPr>
        <w:t>NÉBIH honlapján</w:t>
      </w:r>
      <w:r>
        <w:t xml:space="preserve"> (portal.nebih.gov.hu/eutr ). Amennyiben kérdése merülne fel, azt az EUTR központi email-címén ( </w:t>
      </w:r>
      <w:hyperlink r:id="rId10" w:history="1">
        <w:r w:rsidRPr="001C3B0C">
          <w:rPr>
            <w:rStyle w:val="Hiperhivatkozs"/>
          </w:rPr>
          <w:t>eutr@nebih.gov.hu</w:t>
        </w:r>
      </w:hyperlink>
      <w:r>
        <w:t xml:space="preserve"> ) teheti fel.</w:t>
      </w:r>
    </w:p>
    <w:sectPr w:rsidR="00A7632E" w:rsidSect="00A763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84" w:rsidRDefault="00FA2684" w:rsidP="00691C47">
      <w:pPr>
        <w:spacing w:after="0" w:line="240" w:lineRule="auto"/>
      </w:pPr>
      <w:r>
        <w:separator/>
      </w:r>
    </w:p>
  </w:endnote>
  <w:endnote w:type="continuationSeparator" w:id="0">
    <w:p w:rsidR="00FA2684" w:rsidRDefault="00FA2684" w:rsidP="0069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84" w:rsidRDefault="00FA2684" w:rsidP="00691C47">
      <w:pPr>
        <w:spacing w:after="0" w:line="240" w:lineRule="auto"/>
      </w:pPr>
      <w:r>
        <w:separator/>
      </w:r>
    </w:p>
  </w:footnote>
  <w:footnote w:type="continuationSeparator" w:id="0">
    <w:p w:rsidR="00FA2684" w:rsidRDefault="00FA2684" w:rsidP="00691C47">
      <w:pPr>
        <w:spacing w:after="0" w:line="240" w:lineRule="auto"/>
      </w:pPr>
      <w:r>
        <w:continuationSeparator/>
      </w:r>
    </w:p>
  </w:footnote>
  <w:footnote w:id="1">
    <w:p w:rsidR="00F027B3" w:rsidRDefault="00F027B3" w:rsidP="00691C47">
      <w:pPr>
        <w:jc w:val="both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1C3B0C">
          <w:rPr>
            <w:rStyle w:val="Hiperhivatkozs"/>
          </w:rPr>
          <w:t>http://portal.nebih.gov.hu/documents/10182/21376/Keresked%C5%91i+DDS+%C3%BAtmutat%C3%B3/f1d9f956-f913-4ba5-9c25-1fdb60515ab8</w:t>
        </w:r>
      </w:hyperlink>
    </w:p>
    <w:p w:rsidR="00F027B3" w:rsidRDefault="00F027B3">
      <w:pPr>
        <w:pStyle w:val="Lbjegyzetszveg"/>
      </w:pPr>
    </w:p>
  </w:footnote>
  <w:footnote w:id="2">
    <w:p w:rsidR="00F027B3" w:rsidRDefault="00F027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691C47">
        <w:t>http</w:t>
      </w:r>
      <w:proofErr w:type="gramEnd"/>
      <w:r w:rsidRPr="00691C47">
        <w:t>://portal.nebih.gov.hu/-/az-eutr-szerinti-kereskedokre-vonatkozo-nyilvantartasi-kotelezettsegek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14B22333"/>
    <w:multiLevelType w:val="multilevel"/>
    <w:tmpl w:val="113A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6D1"/>
    <w:rsid w:val="000376AA"/>
    <w:rsid w:val="000579F4"/>
    <w:rsid w:val="00063806"/>
    <w:rsid w:val="00077DAF"/>
    <w:rsid w:val="000D1D4D"/>
    <w:rsid w:val="00126896"/>
    <w:rsid w:val="00136C5F"/>
    <w:rsid w:val="00151FE2"/>
    <w:rsid w:val="00157C61"/>
    <w:rsid w:val="001738F3"/>
    <w:rsid w:val="001B3D99"/>
    <w:rsid w:val="001C7DDF"/>
    <w:rsid w:val="003012EC"/>
    <w:rsid w:val="00356979"/>
    <w:rsid w:val="00391BEC"/>
    <w:rsid w:val="00394CE6"/>
    <w:rsid w:val="003C60FB"/>
    <w:rsid w:val="003D0927"/>
    <w:rsid w:val="003E2451"/>
    <w:rsid w:val="00425995"/>
    <w:rsid w:val="004C6556"/>
    <w:rsid w:val="004E26D1"/>
    <w:rsid w:val="00521284"/>
    <w:rsid w:val="00565989"/>
    <w:rsid w:val="005A4E05"/>
    <w:rsid w:val="005B2D48"/>
    <w:rsid w:val="005E1792"/>
    <w:rsid w:val="00632E6F"/>
    <w:rsid w:val="006519E5"/>
    <w:rsid w:val="00676A50"/>
    <w:rsid w:val="00691C47"/>
    <w:rsid w:val="006977FF"/>
    <w:rsid w:val="006A62C0"/>
    <w:rsid w:val="00706422"/>
    <w:rsid w:val="0077402B"/>
    <w:rsid w:val="0079034C"/>
    <w:rsid w:val="007A1966"/>
    <w:rsid w:val="00817C47"/>
    <w:rsid w:val="00852869"/>
    <w:rsid w:val="00884982"/>
    <w:rsid w:val="008C78CA"/>
    <w:rsid w:val="0093260B"/>
    <w:rsid w:val="00953FD5"/>
    <w:rsid w:val="009B21BE"/>
    <w:rsid w:val="009E170C"/>
    <w:rsid w:val="009E7E56"/>
    <w:rsid w:val="00A25D30"/>
    <w:rsid w:val="00A7632E"/>
    <w:rsid w:val="00AA44FC"/>
    <w:rsid w:val="00AD4ECE"/>
    <w:rsid w:val="00B305B6"/>
    <w:rsid w:val="00B609F1"/>
    <w:rsid w:val="00B611D8"/>
    <w:rsid w:val="00B8489E"/>
    <w:rsid w:val="00BA0CD2"/>
    <w:rsid w:val="00BA52D8"/>
    <w:rsid w:val="00BC0661"/>
    <w:rsid w:val="00BC1167"/>
    <w:rsid w:val="00BF1408"/>
    <w:rsid w:val="00C0302F"/>
    <w:rsid w:val="00C06F90"/>
    <w:rsid w:val="00C50766"/>
    <w:rsid w:val="00C661CA"/>
    <w:rsid w:val="00C93C6C"/>
    <w:rsid w:val="00CC607B"/>
    <w:rsid w:val="00DA157E"/>
    <w:rsid w:val="00DE0C41"/>
    <w:rsid w:val="00DF04E6"/>
    <w:rsid w:val="00E7548C"/>
    <w:rsid w:val="00E9747A"/>
    <w:rsid w:val="00F027B3"/>
    <w:rsid w:val="00F3751D"/>
    <w:rsid w:val="00F54F9E"/>
    <w:rsid w:val="00F60278"/>
    <w:rsid w:val="00F95C4B"/>
    <w:rsid w:val="00FA2684"/>
    <w:rsid w:val="00FB1F37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77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11D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632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A15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157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157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157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157E"/>
    <w:rPr>
      <w:b/>
      <w:bCs/>
    </w:rPr>
  </w:style>
  <w:style w:type="paragraph" w:styleId="Vltozat">
    <w:name w:val="Revision"/>
    <w:hidden/>
    <w:uiPriority w:val="99"/>
    <w:semiHidden/>
    <w:rsid w:val="00DA157E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BF1408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A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91C4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91C4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91C47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BA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52D8"/>
  </w:style>
  <w:style w:type="paragraph" w:styleId="llb">
    <w:name w:val="footer"/>
    <w:basedOn w:val="Norml"/>
    <w:link w:val="llbChar"/>
    <w:uiPriority w:val="99"/>
    <w:semiHidden/>
    <w:unhideWhenUsed/>
    <w:rsid w:val="00BA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A5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9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4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8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1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21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7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94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nebih.gov.hu/-/tajekoztatas-a-kulfoldi-fatermekek-behozatalat-kotelezoen-kisero-dokumentacior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utr@nebih.gov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ortal.nebih.gov.hu/documents/10182/21376/Keresked%C5%91i+DDS+%C3%BAtmutat%C3%B3/f1d9f956-f913-4ba5-9c25-1fdb60515ab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E09B7-6AAB-4961-A399-95CE57D5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1691</Words>
  <Characters>11674</Characters>
  <Application>Microsoft Office Word</Application>
  <DocSecurity>4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József</dc:creator>
  <cp:lastModifiedBy>Frum Zsuzsanna</cp:lastModifiedBy>
  <cp:revision>2</cp:revision>
  <dcterms:created xsi:type="dcterms:W3CDTF">2017-10-03T15:16:00Z</dcterms:created>
  <dcterms:modified xsi:type="dcterms:W3CDTF">2017-10-03T15:16:00Z</dcterms:modified>
</cp:coreProperties>
</file>