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0"/>
        <w:gridCol w:w="512"/>
        <w:gridCol w:w="411"/>
        <w:gridCol w:w="472"/>
        <w:gridCol w:w="733"/>
        <w:gridCol w:w="704"/>
        <w:gridCol w:w="236"/>
        <w:gridCol w:w="1413"/>
        <w:gridCol w:w="1418"/>
        <w:gridCol w:w="1277"/>
        <w:gridCol w:w="1382"/>
      </w:tblGrid>
      <w:tr w:rsidR="000E79B8" w:rsidRPr="000E79B8" w:rsidTr="000E79B8">
        <w:trPr>
          <w:trHeight w:val="300"/>
        </w:trPr>
        <w:tc>
          <w:tcPr>
            <w:tcW w:w="92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0E79B8" w:rsidRPr="000E79B8" w:rsidTr="000E79B8">
        <w:trPr>
          <w:trHeight w:val="300"/>
        </w:trPr>
        <w:tc>
          <w:tcPr>
            <w:tcW w:w="92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 w:rsidP="000E79B8">
            <w:pPr>
              <w:jc w:val="center"/>
              <w:rPr>
                <w:b/>
                <w:bCs/>
              </w:rPr>
            </w:pPr>
            <w:r w:rsidRPr="000E79B8">
              <w:rPr>
                <w:b/>
                <w:bCs/>
              </w:rPr>
              <w:t>A kereskedői bor- és mustkészletekre vonatkozó jelentés</w:t>
            </w:r>
          </w:p>
        </w:tc>
      </w:tr>
      <w:tr w:rsidR="000E79B8" w:rsidRPr="000E79B8" w:rsidTr="000E79B8">
        <w:trPr>
          <w:trHeight w:val="300"/>
        </w:trPr>
        <w:tc>
          <w:tcPr>
            <w:tcW w:w="92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C420B7" w:rsidP="000E79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0E79B8" w:rsidRPr="000E79B8">
              <w:rPr>
                <w:b/>
                <w:bCs/>
              </w:rPr>
              <w:t xml:space="preserve"> július 31-i állapot szerint (hektoliterben)</w:t>
            </w:r>
          </w:p>
        </w:tc>
      </w:tr>
      <w:tr w:rsidR="00FF03BB" w:rsidRPr="000E79B8" w:rsidTr="00FF03BB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r w:rsidRPr="000E79B8">
              <w:rPr>
                <w:b/>
                <w:bCs/>
              </w:rPr>
              <w:t>Nyilatkozattevő: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</w:tr>
      <w:tr w:rsidR="00FF03BB" w:rsidRPr="000E79B8" w:rsidTr="00FF03BB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r w:rsidRPr="000E79B8">
              <w:rPr>
                <w:b/>
                <w:bCs/>
              </w:rPr>
              <w:t>FELÍR azonosító: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</w:tr>
      <w:tr w:rsidR="000E79B8" w:rsidRPr="000E79B8" w:rsidTr="00FF03BB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28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r w:rsidRPr="000E79B8">
              <w:rPr>
                <w:b/>
                <w:bCs/>
              </w:rPr>
              <w:t xml:space="preserve">A termék tárolási </w:t>
            </w:r>
            <w:proofErr w:type="gramStart"/>
            <w:r w:rsidRPr="000E79B8">
              <w:rPr>
                <w:b/>
                <w:bCs/>
              </w:rPr>
              <w:t>helye(</w:t>
            </w:r>
            <w:proofErr w:type="gramEnd"/>
            <w:r w:rsidRPr="000E79B8">
              <w:rPr>
                <w:b/>
                <w:bCs/>
              </w:rPr>
              <w:t>i):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</w:tr>
      <w:tr w:rsidR="000E79B8" w:rsidRPr="000E79B8" w:rsidTr="00FF03BB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79B8" w:rsidRPr="000E79B8" w:rsidRDefault="000E79B8"/>
        </w:tc>
      </w:tr>
      <w:tr w:rsidR="000E79B8" w:rsidRPr="000E79B8" w:rsidTr="00FF03BB">
        <w:trPr>
          <w:trHeight w:val="315"/>
        </w:trPr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395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704" w:type="dxa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3" w:type="dxa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277" w:type="dxa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  <w:tc>
          <w:tcPr>
            <w:tcW w:w="1382" w:type="dxa"/>
            <w:tcBorders>
              <w:top w:val="nil"/>
              <w:left w:val="nil"/>
              <w:right w:val="nil"/>
            </w:tcBorders>
            <w:noWrap/>
            <w:hideMark/>
          </w:tcPr>
          <w:p w:rsidR="000E79B8" w:rsidRPr="000E79B8" w:rsidRDefault="000E79B8"/>
        </w:tc>
      </w:tr>
      <w:tr w:rsidR="000E79B8" w:rsidRPr="000E79B8" w:rsidTr="00FF03BB">
        <w:trPr>
          <w:trHeight w:val="585"/>
        </w:trPr>
        <w:tc>
          <w:tcPr>
            <w:tcW w:w="3798" w:type="dxa"/>
            <w:gridSpan w:val="7"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r w:rsidRPr="000E79B8">
              <w:rPr>
                <w:b/>
                <w:bCs/>
              </w:rPr>
              <w:t> </w:t>
            </w:r>
          </w:p>
          <w:p w:rsidR="000E79B8" w:rsidRPr="000E79B8" w:rsidRDefault="000E79B8">
            <w:pPr>
              <w:rPr>
                <w:b/>
                <w:bCs/>
              </w:rPr>
            </w:pPr>
            <w:r w:rsidRPr="000E79B8">
              <w:rPr>
                <w:b/>
                <w:bCs/>
              </w:rPr>
              <w:t>Termékkategória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r w:rsidRPr="000E79B8">
              <w:rPr>
                <w:b/>
                <w:bCs/>
              </w:rPr>
              <w:t>Összes készlet (hl)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ebből vörös, siller </w:t>
            </w:r>
            <w:r w:rsidRPr="000E79B8">
              <w:rPr>
                <w:b/>
                <w:bCs/>
              </w:rPr>
              <w:t>és rozé (hl)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r w:rsidRPr="000E79B8">
              <w:rPr>
                <w:b/>
                <w:bCs/>
              </w:rPr>
              <w:t>ebből fehér (hl)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pPr>
              <w:rPr>
                <w:b/>
                <w:bCs/>
              </w:rPr>
            </w:pPr>
            <w:r w:rsidRPr="000E79B8">
              <w:rPr>
                <w:b/>
                <w:bCs/>
              </w:rPr>
              <w:t>Megjegyzés</w:t>
            </w:r>
          </w:p>
        </w:tc>
      </w:tr>
      <w:tr w:rsidR="000E79B8" w:rsidRPr="000E79B8" w:rsidTr="00FF03BB">
        <w:trPr>
          <w:trHeight w:val="480"/>
        </w:trPr>
        <w:tc>
          <w:tcPr>
            <w:tcW w:w="730" w:type="dxa"/>
            <w:vMerge w:val="restart"/>
            <w:hideMark/>
          </w:tcPr>
          <w:p w:rsidR="000E79B8" w:rsidRPr="000E79B8" w:rsidRDefault="000E79B8">
            <w:r w:rsidRPr="000E79B8">
              <w:t> </w:t>
            </w:r>
            <w:r>
              <w:t>Bor</w:t>
            </w:r>
          </w:p>
        </w:tc>
        <w:tc>
          <w:tcPr>
            <w:tcW w:w="3068" w:type="dxa"/>
            <w:gridSpan w:val="6"/>
            <w:hideMark/>
          </w:tcPr>
          <w:p w:rsidR="000E79B8" w:rsidRPr="000E79B8" w:rsidRDefault="000E79B8">
            <w:r w:rsidRPr="000E79B8">
              <w:t>közösségi eredetű borok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FF03BB" w:rsidRPr="000E79B8" w:rsidTr="00FF03BB">
        <w:trPr>
          <w:trHeight w:val="705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512" w:type="dxa"/>
            <w:vMerge w:val="restart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2556" w:type="dxa"/>
            <w:gridSpan w:val="5"/>
            <w:hideMark/>
          </w:tcPr>
          <w:p w:rsidR="000E79B8" w:rsidRPr="000E79B8" w:rsidRDefault="000E79B8">
            <w:r w:rsidRPr="000E79B8">
              <w:t xml:space="preserve">oltalom alatt álló </w:t>
            </w:r>
            <w:proofErr w:type="spellStart"/>
            <w:r w:rsidRPr="000E79B8">
              <w:t>eredetmegjelöléssel</w:t>
            </w:r>
            <w:proofErr w:type="spellEnd"/>
            <w:r w:rsidRPr="000E79B8">
              <w:t xml:space="preserve"> (OEM) ellátott borok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FF03BB" w:rsidRPr="000E79B8" w:rsidTr="00FF03BB">
        <w:trPr>
          <w:trHeight w:val="690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512" w:type="dxa"/>
            <w:vMerge/>
            <w:hideMark/>
          </w:tcPr>
          <w:p w:rsidR="000E79B8" w:rsidRPr="000E79B8" w:rsidRDefault="000E79B8"/>
        </w:tc>
        <w:tc>
          <w:tcPr>
            <w:tcW w:w="2556" w:type="dxa"/>
            <w:gridSpan w:val="5"/>
            <w:hideMark/>
          </w:tcPr>
          <w:p w:rsidR="000E79B8" w:rsidRPr="000E79B8" w:rsidRDefault="000E79B8">
            <w:r w:rsidRPr="000E79B8">
              <w:t>oltalom alatt álló földrajzi jelzéssel (OFJ) ellátott borok 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FF03BB" w:rsidRPr="000E79B8" w:rsidTr="00FF03BB">
        <w:trPr>
          <w:trHeight w:val="510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512" w:type="dxa"/>
            <w:vMerge/>
            <w:hideMark/>
          </w:tcPr>
          <w:p w:rsidR="000E79B8" w:rsidRPr="000E79B8" w:rsidRDefault="000E79B8"/>
        </w:tc>
        <w:tc>
          <w:tcPr>
            <w:tcW w:w="2556" w:type="dxa"/>
            <w:gridSpan w:val="5"/>
            <w:hideMark/>
          </w:tcPr>
          <w:p w:rsidR="000E79B8" w:rsidRPr="000E79B8" w:rsidRDefault="000E79B8">
            <w:r w:rsidRPr="000E79B8">
              <w:t>nem OEM/OFJ fajtaborok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FF03BB" w:rsidRPr="000E79B8" w:rsidTr="00FF03BB">
        <w:trPr>
          <w:trHeight w:val="510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512" w:type="dxa"/>
            <w:vMerge/>
            <w:hideMark/>
          </w:tcPr>
          <w:p w:rsidR="000E79B8" w:rsidRPr="000E79B8" w:rsidRDefault="000E79B8"/>
        </w:tc>
        <w:tc>
          <w:tcPr>
            <w:tcW w:w="2556" w:type="dxa"/>
            <w:gridSpan w:val="5"/>
            <w:hideMark/>
          </w:tcPr>
          <w:p w:rsidR="000E79B8" w:rsidRPr="000E79B8" w:rsidRDefault="000E79B8">
            <w:r w:rsidRPr="000E79B8">
              <w:t>nem OEM/OFJ borok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0E79B8" w:rsidRPr="000E79B8" w:rsidTr="00FF03BB">
        <w:trPr>
          <w:trHeight w:val="645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3068" w:type="dxa"/>
            <w:gridSpan w:val="6"/>
            <w:hideMark/>
          </w:tcPr>
          <w:p w:rsidR="000E79B8" w:rsidRPr="000E79B8" w:rsidRDefault="000E79B8">
            <w:r w:rsidRPr="000E79B8">
              <w:t>harmadik országból származó borok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0E79B8" w:rsidRPr="000E79B8" w:rsidTr="00FF03BB">
        <w:trPr>
          <w:trHeight w:val="525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3068" w:type="dxa"/>
            <w:gridSpan w:val="6"/>
            <w:hideMark/>
          </w:tcPr>
          <w:p w:rsidR="000E79B8" w:rsidRPr="000E79B8" w:rsidRDefault="000E79B8">
            <w:r w:rsidRPr="000E79B8">
              <w:t>Összesen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FF03BB" w:rsidRPr="000E79B8" w:rsidTr="00FF03BB">
        <w:trPr>
          <w:trHeight w:val="345"/>
        </w:trPr>
        <w:tc>
          <w:tcPr>
            <w:tcW w:w="730" w:type="dxa"/>
            <w:vMerge w:val="restart"/>
            <w:hideMark/>
          </w:tcPr>
          <w:p w:rsidR="000E79B8" w:rsidRPr="000E79B8" w:rsidRDefault="000E79B8">
            <w:r w:rsidRPr="000E79B8">
              <w:t> </w:t>
            </w:r>
            <w:r>
              <w:t>Must</w:t>
            </w:r>
          </w:p>
        </w:tc>
        <w:tc>
          <w:tcPr>
            <w:tcW w:w="923" w:type="dxa"/>
            <w:gridSpan w:val="2"/>
            <w:vMerge w:val="restart"/>
            <w:hideMark/>
          </w:tcPr>
          <w:p w:rsidR="000E79B8" w:rsidRPr="000E79B8" w:rsidRDefault="000E79B8"/>
        </w:tc>
        <w:tc>
          <w:tcPr>
            <w:tcW w:w="2145" w:type="dxa"/>
            <w:gridSpan w:val="4"/>
            <w:hideMark/>
          </w:tcPr>
          <w:p w:rsidR="000E79B8" w:rsidRPr="000E79B8" w:rsidRDefault="000E79B8">
            <w:r w:rsidRPr="000E79B8">
              <w:t>sűrített szőlőmust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0E79B8" w:rsidRPr="000E79B8" w:rsidTr="00FF03BB">
        <w:trPr>
          <w:trHeight w:val="495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923" w:type="dxa"/>
            <w:gridSpan w:val="2"/>
            <w:vMerge/>
            <w:hideMark/>
          </w:tcPr>
          <w:p w:rsidR="000E79B8" w:rsidRPr="000E79B8" w:rsidRDefault="000E79B8"/>
        </w:tc>
        <w:tc>
          <w:tcPr>
            <w:tcW w:w="2145" w:type="dxa"/>
            <w:gridSpan w:val="4"/>
            <w:hideMark/>
          </w:tcPr>
          <w:p w:rsidR="000E79B8" w:rsidRPr="000E79B8" w:rsidRDefault="000E79B8">
            <w:r w:rsidRPr="000E79B8">
              <w:t xml:space="preserve">finomított </w:t>
            </w:r>
            <w:proofErr w:type="spellStart"/>
            <w:r w:rsidRPr="000E79B8">
              <w:t>szőlőmustsűrítmény</w:t>
            </w:r>
            <w:proofErr w:type="spellEnd"/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0E79B8" w:rsidRPr="000E79B8" w:rsidTr="00FF03BB">
        <w:trPr>
          <w:trHeight w:val="405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923" w:type="dxa"/>
            <w:gridSpan w:val="2"/>
            <w:vMerge/>
            <w:hideMark/>
          </w:tcPr>
          <w:p w:rsidR="000E79B8" w:rsidRPr="000E79B8" w:rsidRDefault="000E79B8"/>
        </w:tc>
        <w:tc>
          <w:tcPr>
            <w:tcW w:w="2145" w:type="dxa"/>
            <w:gridSpan w:val="4"/>
            <w:noWrap/>
            <w:hideMark/>
          </w:tcPr>
          <w:p w:rsidR="000E79B8" w:rsidRPr="000E79B8" w:rsidRDefault="000E79B8">
            <w:r w:rsidRPr="000E79B8">
              <w:t>más mustok 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  <w:tr w:rsidR="000E79B8" w:rsidRPr="000E79B8" w:rsidTr="00FF03BB">
        <w:trPr>
          <w:trHeight w:val="510"/>
        </w:trPr>
        <w:tc>
          <w:tcPr>
            <w:tcW w:w="730" w:type="dxa"/>
            <w:vMerge/>
            <w:hideMark/>
          </w:tcPr>
          <w:p w:rsidR="000E79B8" w:rsidRPr="000E79B8" w:rsidRDefault="000E79B8"/>
        </w:tc>
        <w:tc>
          <w:tcPr>
            <w:tcW w:w="3068" w:type="dxa"/>
            <w:gridSpan w:val="6"/>
            <w:hideMark/>
          </w:tcPr>
          <w:p w:rsidR="000E79B8" w:rsidRPr="000E79B8" w:rsidRDefault="000E79B8">
            <w:r w:rsidRPr="000E79B8">
              <w:t>Összesen</w:t>
            </w:r>
          </w:p>
        </w:tc>
        <w:tc>
          <w:tcPr>
            <w:tcW w:w="1413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418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277" w:type="dxa"/>
            <w:hideMark/>
          </w:tcPr>
          <w:p w:rsidR="000E79B8" w:rsidRPr="000E79B8" w:rsidRDefault="000E79B8">
            <w:r w:rsidRPr="000E79B8">
              <w:t> </w:t>
            </w:r>
          </w:p>
        </w:tc>
        <w:tc>
          <w:tcPr>
            <w:tcW w:w="1382" w:type="dxa"/>
            <w:hideMark/>
          </w:tcPr>
          <w:p w:rsidR="000E79B8" w:rsidRPr="000E79B8" w:rsidRDefault="000E79B8">
            <w:r w:rsidRPr="000E79B8">
              <w:t> </w:t>
            </w:r>
          </w:p>
        </w:tc>
      </w:tr>
    </w:tbl>
    <w:p w:rsidR="005715D2" w:rsidRDefault="00BA3971">
      <w:r>
        <w:fldChar w:fldCharType="begin"/>
      </w:r>
      <w:r>
        <w:instrText xml:space="preserve"> LINK </w:instrText>
      </w:r>
      <w:r w:rsidR="00B92C80">
        <w:instrText xml:space="preserve">Excel.Sheet.12 C:\\Users\\kocsie\\Documents\\Emmi20140401\\Készletjelentés\\Készletjelentés.xlsx Készletjelentés!S1O1:S51O10 </w:instrText>
      </w:r>
      <w:r>
        <w:instrText xml:space="preserve">\a \f 5 \h  \* MERGEFORMAT </w:instrText>
      </w:r>
      <w:r>
        <w:fldChar w:fldCharType="separate"/>
      </w:r>
    </w:p>
    <w:p w:rsidR="00645062" w:rsidRDefault="00BA3971">
      <w:r>
        <w:fldChar w:fldCharType="end"/>
      </w:r>
      <w:r w:rsidR="000E79B8">
        <w:t>Kelt:</w:t>
      </w:r>
    </w:p>
    <w:p w:rsidR="000E79B8" w:rsidRDefault="000E79B8"/>
    <w:p w:rsidR="000E79B8" w:rsidRDefault="000E79B8"/>
    <w:p w:rsidR="000E79B8" w:rsidRDefault="000E79B8"/>
    <w:p w:rsidR="000E79B8" w:rsidRDefault="000E79B8"/>
    <w:p w:rsidR="000E79B8" w:rsidRDefault="000E79B8" w:rsidP="000E79B8">
      <w:pPr>
        <w:jc w:val="center"/>
      </w:pPr>
      <w:r>
        <w:t>PH.</w:t>
      </w:r>
    </w:p>
    <w:p w:rsidR="000E79B8" w:rsidRDefault="000E79B8" w:rsidP="000E79B8">
      <w:pPr>
        <w:jc w:val="right"/>
      </w:pPr>
      <w:r>
        <w:t>………………………………………..</w:t>
      </w:r>
    </w:p>
    <w:p w:rsidR="000E79B8" w:rsidRDefault="000E79B8" w:rsidP="000E79B8">
      <w:pPr>
        <w:ind w:left="4956" w:firstLine="708"/>
        <w:jc w:val="center"/>
      </w:pPr>
      <w:proofErr w:type="gramStart"/>
      <w:r>
        <w:t>aláírás</w:t>
      </w:r>
      <w:proofErr w:type="gramEnd"/>
    </w:p>
    <w:p w:rsidR="00645062" w:rsidRDefault="00645062"/>
    <w:p w:rsidR="00645062" w:rsidRDefault="00645062"/>
    <w:p w:rsidR="00645062" w:rsidRDefault="00645062"/>
    <w:p w:rsidR="00645062" w:rsidRDefault="00645062"/>
    <w:p w:rsidR="00645062" w:rsidRDefault="00645062"/>
    <w:p w:rsidR="00645062" w:rsidRDefault="00645062"/>
    <w:sectPr w:rsidR="00645062" w:rsidSect="00F457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17"/>
    <w:rsid w:val="000E79B8"/>
    <w:rsid w:val="0023298A"/>
    <w:rsid w:val="005715D2"/>
    <w:rsid w:val="00645062"/>
    <w:rsid w:val="00715E7B"/>
    <w:rsid w:val="00885516"/>
    <w:rsid w:val="00B92C80"/>
    <w:rsid w:val="00BA3971"/>
    <w:rsid w:val="00BC32F5"/>
    <w:rsid w:val="00BC3717"/>
    <w:rsid w:val="00C420B7"/>
    <w:rsid w:val="00F457FC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5E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A39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5E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A39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Hullá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kocsie</dc:creator>
  <cp:lastModifiedBy>kocsie</cp:lastModifiedBy>
  <cp:revision>4</cp:revision>
  <dcterms:created xsi:type="dcterms:W3CDTF">2018-06-14T11:24:00Z</dcterms:created>
  <dcterms:modified xsi:type="dcterms:W3CDTF">2018-06-15T07:38:00Z</dcterms:modified>
</cp:coreProperties>
</file>