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29" w:rsidRPr="00B34A3A" w:rsidRDefault="00D75CC0" w:rsidP="00B34A3A">
      <w:pPr>
        <w:jc w:val="center"/>
        <w:rPr>
          <w:b/>
          <w:sz w:val="28"/>
        </w:rPr>
      </w:pPr>
      <w:r w:rsidRPr="00B34A3A">
        <w:rPr>
          <w:b/>
          <w:sz w:val="28"/>
        </w:rPr>
        <w:t xml:space="preserve">PRRS Nemzeti </w:t>
      </w:r>
      <w:proofErr w:type="gramStart"/>
      <w:r w:rsidRPr="00B34A3A">
        <w:rPr>
          <w:b/>
          <w:sz w:val="28"/>
        </w:rPr>
        <w:t>Mentesítési</w:t>
      </w:r>
      <w:proofErr w:type="gramEnd"/>
      <w:r w:rsidRPr="00B34A3A">
        <w:rPr>
          <w:b/>
          <w:sz w:val="28"/>
        </w:rPr>
        <w:t xml:space="preserve"> Terv</w:t>
      </w:r>
      <w:r w:rsidR="00842891">
        <w:rPr>
          <w:b/>
          <w:sz w:val="28"/>
        </w:rPr>
        <w:t xml:space="preserve"> 2.0</w:t>
      </w:r>
    </w:p>
    <w:p w:rsidR="00D75CC0" w:rsidRPr="00B34A3A" w:rsidRDefault="00D75CC0" w:rsidP="00B34A3A">
      <w:pPr>
        <w:jc w:val="center"/>
        <w:rPr>
          <w:b/>
          <w:sz w:val="28"/>
        </w:rPr>
      </w:pPr>
      <w:r w:rsidRPr="00B34A3A">
        <w:rPr>
          <w:b/>
          <w:sz w:val="28"/>
        </w:rPr>
        <w:t>2014.</w:t>
      </w:r>
      <w:r w:rsidR="00842891">
        <w:rPr>
          <w:b/>
          <w:sz w:val="28"/>
        </w:rPr>
        <w:t xml:space="preserve"> november </w:t>
      </w:r>
      <w:r w:rsidR="002D23C7">
        <w:rPr>
          <w:b/>
          <w:sz w:val="28"/>
        </w:rPr>
        <w:t xml:space="preserve">01 </w:t>
      </w:r>
      <w:bookmarkStart w:id="0" w:name="_GoBack"/>
      <w:bookmarkEnd w:id="0"/>
      <w:r w:rsidR="00842891">
        <w:rPr>
          <w:b/>
          <w:sz w:val="28"/>
        </w:rPr>
        <w:t>-</w:t>
      </w:r>
    </w:p>
    <w:p w:rsidR="00D75CC0" w:rsidRPr="00B34A3A" w:rsidRDefault="00D75CC0" w:rsidP="00B34A3A">
      <w:pPr>
        <w:rPr>
          <w:b/>
          <w:bCs/>
          <w:sz w:val="28"/>
        </w:rPr>
      </w:pPr>
    </w:p>
    <w:p w:rsidR="00D75CC0" w:rsidRPr="00B34A3A" w:rsidRDefault="00D75CC0" w:rsidP="00B34A3A"/>
    <w:p w:rsidR="00D91974" w:rsidRPr="00B34A3A" w:rsidRDefault="00D91974" w:rsidP="00B34A3A"/>
    <w:p w:rsidR="00D75CC0" w:rsidRPr="00B34A3A" w:rsidRDefault="00D75CC0" w:rsidP="00B34A3A">
      <w:pPr>
        <w:autoSpaceDE w:val="0"/>
        <w:autoSpaceDN w:val="0"/>
        <w:adjustRightInd w:val="0"/>
        <w:rPr>
          <w:color w:val="000000"/>
          <w:sz w:val="26"/>
          <w:szCs w:val="26"/>
          <w:u w:val="single"/>
        </w:rPr>
      </w:pPr>
      <w:r w:rsidRPr="00B34A3A">
        <w:rPr>
          <w:color w:val="000000"/>
          <w:sz w:val="26"/>
          <w:szCs w:val="26"/>
          <w:u w:val="single"/>
        </w:rPr>
        <w:t>Járványtani és virológiai háttér ismeretek</w:t>
      </w:r>
    </w:p>
    <w:p w:rsidR="00D75CC0" w:rsidRPr="00B34A3A" w:rsidRDefault="00D75CC0" w:rsidP="00B34A3A">
      <w:pPr>
        <w:autoSpaceDE w:val="0"/>
        <w:autoSpaceDN w:val="0"/>
        <w:adjustRightInd w:val="0"/>
        <w:rPr>
          <w:color w:val="000000"/>
        </w:rPr>
      </w:pPr>
    </w:p>
    <w:p w:rsidR="00D75CC0" w:rsidRPr="00B34A3A" w:rsidRDefault="00D75CC0" w:rsidP="00B34A3A">
      <w:pPr>
        <w:autoSpaceDE w:val="0"/>
        <w:autoSpaceDN w:val="0"/>
        <w:adjustRightInd w:val="0"/>
        <w:rPr>
          <w:color w:val="000000"/>
        </w:rPr>
      </w:pPr>
      <w:r w:rsidRPr="00B34A3A">
        <w:rPr>
          <w:color w:val="000000"/>
        </w:rPr>
        <w:t>A PRRS fiatal malacokban önállóan, vagy később társult fertőzés formájában légzőszervi megbetegedést okozhat, míg idősebb sertések esetén szaporodási zavarok kiváltója lehet. A fertőzés világszerte elterjedt és terjedőben van, miközben egyes földrajzi területek őrzik mentességüket. A PPRS megjelenése az állományban jelentős, számszerűsíthető gazdasági veszteséggel jár, ami egy hollandiai tanulmány szerint a kitörést követő 18 héten belül kocánként átla</w:t>
      </w:r>
      <w:r w:rsidR="0006746F" w:rsidRPr="00B34A3A">
        <w:rPr>
          <w:color w:val="000000"/>
        </w:rPr>
        <w:t>go</w:t>
      </w:r>
      <w:r w:rsidRPr="00B34A3A">
        <w:rPr>
          <w:color w:val="000000"/>
        </w:rPr>
        <w:t xml:space="preserve">san 126 Euró, míg a járványkezelési technikáktól függően az ezt követő időszakban egy kocára vetítve 3 és 160 Euró között változik (Nieuwenhuis és mtsai., 2012). A betegség kórokozója (arterivírus) egy RNS genommal rendelkező burkos vírus, melynek a fizikai ellenálló-képessége csekély, zsíroldószerek és enyhe fertőtlenítőszerek egyaránt hatékonyan inaktiválják </w:t>
      </w:r>
      <w:r w:rsidRPr="00B34A3A">
        <w:rPr>
          <w:rFonts w:eastAsia="ITCStoneSerif-Medium"/>
          <w:color w:val="000000"/>
        </w:rPr>
        <w:t>(Benfield és mtsai., 1992)</w:t>
      </w:r>
      <w:r w:rsidRPr="00B34A3A">
        <w:rPr>
          <w:color w:val="000000"/>
        </w:rPr>
        <w:t xml:space="preserve">. A vírus faj-specifikus, házi sertések mellett vaddisznókat képes fertőzni, utóbbiakban a jelenléte változatos, de alacsonyabb előfordulási arányú </w:t>
      </w:r>
      <w:r w:rsidRPr="00B34A3A">
        <w:rPr>
          <w:rFonts w:eastAsia="ITCStoneSerif-Medium"/>
          <w:color w:val="000000"/>
        </w:rPr>
        <w:t>(Albina és mtsai., 2000).</w:t>
      </w:r>
    </w:p>
    <w:p w:rsidR="00D75CC0" w:rsidRPr="00B34A3A" w:rsidRDefault="00D75CC0" w:rsidP="00B34A3A">
      <w:pPr>
        <w:rPr>
          <w:color w:val="000000"/>
        </w:rPr>
      </w:pPr>
      <w:r w:rsidRPr="00B34A3A">
        <w:rPr>
          <w:color w:val="000000"/>
        </w:rPr>
        <w:t>A kórokozó ürítése elsősorban nyállal, vizelettel, ondóval, bélsárral és tejjel történik, míg a felvétele történhet orron és szájon át, vagy intrauterin úton. A fertőződés leghatékonyabb módon mégis sérüléseken</w:t>
      </w:r>
      <w:r w:rsidR="00CB6E5A" w:rsidRPr="00B34A3A">
        <w:rPr>
          <w:color w:val="000000"/>
        </w:rPr>
        <w:t xml:space="preserve"> (vakaródzás, farok-, fülrágás stb.)</w:t>
      </w:r>
      <w:r w:rsidRPr="00B34A3A">
        <w:rPr>
          <w:color w:val="000000"/>
        </w:rPr>
        <w:t xml:space="preserve"> keresztül valósul meg, ebben az esetben a sikeres fertőzéshez elegendő néhány fertőzőképes vírus partikula (</w:t>
      </w:r>
      <w:r w:rsidRPr="00B34A3A">
        <w:rPr>
          <w:rFonts w:eastAsia="ITCStoneSerif-Medium"/>
          <w:color w:val="000000"/>
        </w:rPr>
        <w:t>Yoon és mtsai., 1999)</w:t>
      </w:r>
      <w:r w:rsidR="00CB6E5A" w:rsidRPr="00B34A3A">
        <w:rPr>
          <w:rFonts w:eastAsia="ITCStoneSerif-Medium"/>
          <w:color w:val="000000"/>
        </w:rPr>
        <w:t>.</w:t>
      </w:r>
    </w:p>
    <w:p w:rsidR="00D75CC0" w:rsidRPr="00B34A3A" w:rsidRDefault="00D75CC0" w:rsidP="00B34A3A">
      <w:pPr>
        <w:rPr>
          <w:color w:val="000000"/>
        </w:rPr>
      </w:pPr>
      <w:r w:rsidRPr="00B34A3A">
        <w:rPr>
          <w:color w:val="000000"/>
        </w:rPr>
        <w:t>A kórokozó terjesztése elsősorban fertőzött sertések révén történik, legsi</w:t>
      </w:r>
      <w:r w:rsidR="0006746F" w:rsidRPr="00B34A3A">
        <w:rPr>
          <w:color w:val="000000"/>
        </w:rPr>
        <w:t>kere</w:t>
      </w:r>
      <w:r w:rsidRPr="00B34A3A">
        <w:rPr>
          <w:color w:val="000000"/>
        </w:rPr>
        <w:t xml:space="preserve">sebb útja a közvetlen kontaktus. Ragályfogó tárgyak és a levegő fertőzést közvetítő szerepe nagyobb távolságok esetén másodlagos; hűvös, télies időben lehet számottevő. Fertőzött sertések mellett </w:t>
      </w:r>
      <w:r w:rsidRPr="00B34A3A">
        <w:rPr>
          <w:rFonts w:eastAsia="ITCStoneSerif-Medium"/>
          <w:color w:val="000000"/>
        </w:rPr>
        <w:t>a kórokozót nagyobb távolságra mecha</w:t>
      </w:r>
      <w:r w:rsidR="0006746F" w:rsidRPr="00B34A3A">
        <w:rPr>
          <w:rFonts w:eastAsia="ITCStoneSerif-Medium"/>
          <w:color w:val="000000"/>
        </w:rPr>
        <w:t>ni</w:t>
      </w:r>
      <w:r w:rsidRPr="00B34A3A">
        <w:rPr>
          <w:rFonts w:eastAsia="ITCStoneSerif-Medium"/>
          <w:color w:val="000000"/>
        </w:rPr>
        <w:t>kusan vérszívó ízeltlábúak is terjeszthetik.</w:t>
      </w:r>
      <w:r w:rsidRPr="00B34A3A">
        <w:rPr>
          <w:color w:val="000000"/>
        </w:rPr>
        <w:t xml:space="preserve"> A fertőzés állományon belüli terjedése változatos, hónapokig észrevétlen maradhat, gyakori a perzisztáló fertőzés (</w:t>
      </w:r>
      <w:r w:rsidRPr="00B34A3A">
        <w:rPr>
          <w:rFonts w:eastAsia="ITCStoneSerif-Medium"/>
          <w:color w:val="000000"/>
        </w:rPr>
        <w:t>Horter et al., 2002)</w:t>
      </w:r>
      <w:r w:rsidRPr="00B34A3A">
        <w:rPr>
          <w:color w:val="000000"/>
        </w:rPr>
        <w:t>, ami életkortól függetlenül előfordulhat, és esetenként szerológiailag negatív kép kíséri.</w:t>
      </w:r>
    </w:p>
    <w:p w:rsidR="00D91974" w:rsidRPr="00B34A3A" w:rsidRDefault="00D91974" w:rsidP="00B34A3A">
      <w:pPr>
        <w:rPr>
          <w:color w:val="000000"/>
        </w:rPr>
      </w:pPr>
    </w:p>
    <w:p w:rsidR="00D75CC0" w:rsidRPr="00B34A3A" w:rsidRDefault="00D75CC0" w:rsidP="00B34A3A">
      <w:pPr>
        <w:rPr>
          <w:color w:val="000000"/>
        </w:rPr>
      </w:pPr>
    </w:p>
    <w:p w:rsidR="00D75CC0" w:rsidRPr="00B34A3A" w:rsidRDefault="00215424" w:rsidP="00B34A3A">
      <w:pPr>
        <w:autoSpaceDE w:val="0"/>
        <w:autoSpaceDN w:val="0"/>
        <w:adjustRightInd w:val="0"/>
        <w:rPr>
          <w:color w:val="000000"/>
          <w:sz w:val="26"/>
          <w:szCs w:val="26"/>
          <w:u w:val="single"/>
        </w:rPr>
      </w:pPr>
      <w:r w:rsidRPr="00B34A3A">
        <w:rPr>
          <w:color w:val="000000"/>
          <w:sz w:val="26"/>
          <w:szCs w:val="26"/>
          <w:u w:val="single"/>
        </w:rPr>
        <w:t>Diagnosztikai</w:t>
      </w:r>
      <w:r w:rsidR="00D75CC0" w:rsidRPr="00B34A3A">
        <w:rPr>
          <w:color w:val="000000"/>
          <w:sz w:val="26"/>
          <w:szCs w:val="26"/>
          <w:u w:val="single"/>
        </w:rPr>
        <w:t xml:space="preserve"> szempontból fontos ismeretek</w:t>
      </w:r>
    </w:p>
    <w:p w:rsidR="00D91974" w:rsidRPr="00B34A3A" w:rsidRDefault="00D91974" w:rsidP="00B34A3A">
      <w:pPr>
        <w:autoSpaceDE w:val="0"/>
        <w:autoSpaceDN w:val="0"/>
        <w:adjustRightInd w:val="0"/>
        <w:rPr>
          <w:color w:val="000000"/>
        </w:rPr>
      </w:pPr>
    </w:p>
    <w:p w:rsidR="00D75CC0" w:rsidRPr="00B34A3A" w:rsidRDefault="00D75CC0" w:rsidP="00B34A3A">
      <w:pPr>
        <w:autoSpaceDE w:val="0"/>
        <w:autoSpaceDN w:val="0"/>
        <w:adjustRightInd w:val="0"/>
        <w:rPr>
          <w:color w:val="000000"/>
        </w:rPr>
      </w:pPr>
      <w:r w:rsidRPr="00B34A3A">
        <w:rPr>
          <w:color w:val="000000"/>
        </w:rPr>
        <w:t>A vírusfertőzés elsődleges célpontja a makrofág rendszer. Virémia legkorábban a fertőzést követő 12 óra elmúltával alakulhat ki, 24 óra után a vírus valamennyi fertőzött egyedben megjelenik a vérpályában, csúcsa a 7.-14. napon figyelhető meg (Zimmerman és mtsai., 2006). A legmagasabb vírustiterek a tüdőben mérhetők. PRRSV specifikus IgM ellenanyagok a fertőzést követő 5-7 nap múlva válnak mérhető mennyiségűvé és 2-3 hét múlva szintjük a kimutathatósági határ alá csökken. Az IgG típusú ellenanyagok megjelenése a fertőzés után 7-10 nap</w:t>
      </w:r>
      <w:r w:rsidR="0006746F" w:rsidRPr="00B34A3A">
        <w:rPr>
          <w:color w:val="000000"/>
        </w:rPr>
        <w:t>-</w:t>
      </w:r>
      <w:r w:rsidRPr="00B34A3A">
        <w:rPr>
          <w:color w:val="000000"/>
        </w:rPr>
        <w:t xml:space="preserve">pal várható, 4 hét múlva éri el a csúcsát, majd hónapokig perzisztál és ezt követően csökken. Vírusneutralizáló ellenanyagok azonban csak a fertőzés után 3 héttel jelennek meg, alacsony szinten maradnak, és mennyiségük egyedenként jelentős eltérést mutathat (Zimmerman és mtsai., 2006). </w:t>
      </w:r>
    </w:p>
    <w:p w:rsidR="00D75CC0" w:rsidRPr="00B34A3A" w:rsidRDefault="00D75CC0" w:rsidP="00B34A3A">
      <w:pPr>
        <w:rPr>
          <w:color w:val="000000"/>
        </w:rPr>
      </w:pPr>
      <w:r w:rsidRPr="00B34A3A">
        <w:rPr>
          <w:color w:val="000000"/>
        </w:rPr>
        <w:t xml:space="preserve">A PRRSV genetikai anyagát és ebből adódóan antigén-szerkezetét illetően is folyamatosan változik (Michael és mtsai., 2010). A vírusokat jelenleg 2 nagyobb típusba (európai és észak-amerikai) és számos altípusba sorolják. A fertőzés egyik jellegzetessége, hogy nem csak állományok között, de az állományon vagy a fertőzött egyeden belül is változatos genetikai és antigén-szerkezeti vírus variánsok fordulhatnak elő (Goldberg és mtsai., 2003), ami </w:t>
      </w:r>
      <w:r w:rsidRPr="00B34A3A">
        <w:rPr>
          <w:color w:val="000000"/>
        </w:rPr>
        <w:lastRenderedPageBreak/>
        <w:t xml:space="preserve">önmagában is komoly diagnosztikai nehézségek forrása. Ugyancsak a diagnosztikai bizonytalanságot fokozza, hogy a forgalomban lévő szerológiai tesztek megbízhatósága nem teljes (Yahara és mtsai., 2002; Díaz és mtsai, 2012; Venteo és mtsai., 2012). </w:t>
      </w:r>
    </w:p>
    <w:p w:rsidR="00D75CC0" w:rsidRPr="00B34A3A" w:rsidRDefault="00D75CC0" w:rsidP="00B34A3A">
      <w:pPr>
        <w:rPr>
          <w:color w:val="000000"/>
        </w:rPr>
      </w:pPr>
    </w:p>
    <w:p w:rsidR="00D91974" w:rsidRPr="004C1C6B" w:rsidRDefault="00D91974" w:rsidP="00B34A3A"/>
    <w:p w:rsidR="00D75CC0" w:rsidRPr="004C1C6B" w:rsidRDefault="002C3C29" w:rsidP="00B34A3A">
      <w:pPr>
        <w:rPr>
          <w:sz w:val="26"/>
          <w:szCs w:val="26"/>
          <w:u w:val="single"/>
        </w:rPr>
      </w:pPr>
      <w:r w:rsidRPr="002C3C29">
        <w:rPr>
          <w:sz w:val="26"/>
          <w:szCs w:val="26"/>
          <w:u w:val="single"/>
        </w:rPr>
        <w:t>Vakcinázás</w:t>
      </w:r>
    </w:p>
    <w:p w:rsidR="00D75CC0" w:rsidRPr="00062FE0" w:rsidRDefault="00D75CC0" w:rsidP="00B34A3A">
      <w:pPr>
        <w:rPr>
          <w:color w:val="FF0000"/>
        </w:rPr>
      </w:pPr>
    </w:p>
    <w:p w:rsidR="001856C6" w:rsidRPr="004C1C6B" w:rsidRDefault="002C3C29" w:rsidP="001856C6">
      <w:pPr>
        <w:ind w:firstLine="709"/>
      </w:pPr>
      <w:r w:rsidRPr="002C3C29">
        <w:t xml:space="preserve">A vad vírussal fertőzött állományokban </w:t>
      </w:r>
      <w:r w:rsidR="004C1C6B" w:rsidRPr="004C1C6B">
        <w:t xml:space="preserve">célszerű </w:t>
      </w:r>
      <w:r w:rsidR="004C1C6B">
        <w:t xml:space="preserve">a </w:t>
      </w:r>
      <w:r w:rsidRPr="002C3C29">
        <w:t>vakciná</w:t>
      </w:r>
      <w:r w:rsidR="004C1C6B">
        <w:t>s védekezés</w:t>
      </w:r>
      <w:r w:rsidRPr="002C3C29">
        <w:t xml:space="preserve"> alkalmazás</w:t>
      </w:r>
      <w:r w:rsidR="004C1C6B">
        <w:t>a</w:t>
      </w:r>
      <w:r w:rsidRPr="002C3C29">
        <w:t xml:space="preserve"> .  A vakcinák a már meglévő immunitást erősíthetik, a környezetbe ürülő vírusok mennyiségét, és </w:t>
      </w:r>
      <w:proofErr w:type="gramStart"/>
      <w:r w:rsidRPr="002C3C29">
        <w:t>ezáltal</w:t>
      </w:r>
      <w:proofErr w:type="gramEnd"/>
      <w:r w:rsidRPr="002C3C29">
        <w:t xml:space="preserve"> az állomány vírusterheltségét csökkenthetik. </w:t>
      </w:r>
    </w:p>
    <w:p w:rsidR="001856C6" w:rsidRPr="004C1C6B" w:rsidRDefault="002C3C29" w:rsidP="001856C6">
      <w:pPr>
        <w:ind w:firstLine="709"/>
      </w:pPr>
      <w:r w:rsidRPr="002C3C29">
        <w:t xml:space="preserve">A kereskedelemben a PRRS okozta gazdasági károk mérséklésére élő, attenuált (MLV=modified live virus) és inaktivált vakcinák vannak forgalomban. Az inaktivált vakcinák mérhető immunválaszt indukáló képességét sokan vitatják, az élő, attenuált vakcinák alkalmazása a fertőzött állományokban homogénebb immunológiai státusz kiala-kulásához vezet. Az utóbbi vakcinatípus esetén elvileg fennáll a vírus rekombinálódásának a lehetősége, de ennek a valós veszélye az eddigi tapasztalatok alapján elhanyagolható, és a szakirodalomban ilyen rekombinációról eddig nem számoltak be. Ugyanakkor a reverzió </w:t>
      </w:r>
      <w:r w:rsidR="004C1C6B">
        <w:t>előfordulására már gyakorlati</w:t>
      </w:r>
      <w:r w:rsidRPr="002C3C29">
        <w:t xml:space="preserve"> példa is akadt. </w:t>
      </w:r>
      <w:r w:rsidR="00AD6DB0">
        <w:t>Ismeretes</w:t>
      </w:r>
      <w:r w:rsidRPr="002C3C29">
        <w:t xml:space="preserve"> olyan állomány, ahol a</w:t>
      </w:r>
      <w:r w:rsidR="00AD6DB0">
        <w:t>z élővírusos vakcina alkalmazása a</w:t>
      </w:r>
      <w:r w:rsidRPr="002C3C29">
        <w:t xml:space="preserve"> járvány fellángolását </w:t>
      </w:r>
      <w:r w:rsidR="00AD6DB0">
        <w:t>idézte elő</w:t>
      </w:r>
      <w:r w:rsidRPr="002C3C29">
        <w:t>, és ahol a vakcinavírus gyakorlatilag kiszorította a telepen keringő korábbi utcai vírust.</w:t>
      </w:r>
    </w:p>
    <w:p w:rsidR="001856C6" w:rsidRPr="004C1C6B" w:rsidRDefault="002C3C29" w:rsidP="001856C6">
      <w:r w:rsidRPr="002C3C29">
        <w:tab/>
        <w:t>Az inaktivált vakcinák biztonságosnak mondhatók, ugyanakkor az általuk nyújtott védelem korlátozott. Áthangolódott állományok esetében azonban biztonságosan alkalmazhatóak a szaporodásbiológiai eredmények javítására.</w:t>
      </w:r>
    </w:p>
    <w:p w:rsidR="001856C6" w:rsidRPr="004C1C6B" w:rsidRDefault="002C3C29" w:rsidP="00062FE0">
      <w:r w:rsidRPr="002C3C29">
        <w:tab/>
        <w:t>A fentiek alapján egyetlen kereskedelmi forgalomban levő vakcina alkalmazás</w:t>
      </w:r>
      <w:r w:rsidR="00AD6DB0">
        <w:t>a sem preferálható bármelyik másikkal szemben.</w:t>
      </w:r>
      <w:r w:rsidRPr="002C3C29">
        <w:t xml:space="preserve"> </w:t>
      </w:r>
    </w:p>
    <w:p w:rsidR="001856C6" w:rsidRPr="00062FE0" w:rsidRDefault="00AD6DB0" w:rsidP="00AD6DB0">
      <w:pPr>
        <w:spacing w:after="200"/>
        <w:ind w:firstLine="708"/>
        <w:rPr>
          <w:color w:val="FF0000"/>
        </w:rPr>
      </w:pPr>
      <w:r>
        <w:t>Bármilyen vakcina alkalmazása esetén</w:t>
      </w:r>
      <w:r w:rsidR="002C3C29" w:rsidRPr="002C3C29">
        <w:t xml:space="preserve"> a fertőzött állományokban a vakcinázás eredményességét feltétlenül figyelemmel kell kísérni, és adatokat gyűjteni az egyes vakcinák klinikai tüneteket és gazdasági veszteségeket korlátozó hatásátilletően. </w:t>
      </w:r>
      <w:r w:rsidR="002C3C29" w:rsidRPr="002C3C29">
        <w:br/>
      </w:r>
      <w:r w:rsidR="002C3C29" w:rsidRPr="002C3C29">
        <w:tab/>
        <w:t xml:space="preserve">A vakcinákra adott immunválasz a fertőzött és vakcinázott egyedek szerológiai megkülönböztetésére nem alkalmas. (OIE, 2008., 2010). </w:t>
      </w:r>
    </w:p>
    <w:p w:rsidR="00D75CC0" w:rsidRPr="00B34A3A" w:rsidRDefault="00D75CC0" w:rsidP="001856C6">
      <w:pPr>
        <w:rPr>
          <w:color w:val="000000"/>
        </w:rPr>
      </w:pPr>
    </w:p>
    <w:p w:rsidR="00D91974" w:rsidRPr="00B34A3A" w:rsidRDefault="00D91974" w:rsidP="00B34A3A">
      <w:pPr>
        <w:rPr>
          <w:color w:val="000000"/>
        </w:rPr>
      </w:pPr>
    </w:p>
    <w:p w:rsidR="00D75CC0" w:rsidRPr="00B34A3A" w:rsidRDefault="00D75CC0" w:rsidP="00B34A3A">
      <w:pPr>
        <w:rPr>
          <w:color w:val="000000"/>
          <w:sz w:val="26"/>
          <w:szCs w:val="26"/>
          <w:u w:val="single"/>
        </w:rPr>
      </w:pPr>
      <w:r w:rsidRPr="00B34A3A">
        <w:rPr>
          <w:color w:val="000000"/>
          <w:sz w:val="26"/>
          <w:szCs w:val="26"/>
          <w:u w:val="single"/>
        </w:rPr>
        <w:t>Konklúziók</w:t>
      </w:r>
    </w:p>
    <w:p w:rsidR="00D75CC0" w:rsidRPr="00B34A3A" w:rsidRDefault="00D75CC0" w:rsidP="00B34A3A">
      <w:pPr>
        <w:rPr>
          <w:color w:val="000000"/>
        </w:rPr>
      </w:pPr>
    </w:p>
    <w:p w:rsidR="00D75CC0" w:rsidRPr="00B34A3A" w:rsidRDefault="00D75CC0" w:rsidP="00B34A3A">
      <w:pPr>
        <w:rPr>
          <w:color w:val="000000"/>
        </w:rPr>
      </w:pPr>
      <w:r w:rsidRPr="00B34A3A">
        <w:rPr>
          <w:color w:val="000000"/>
        </w:rPr>
        <w:t>A fenti ismeretek figyelembevételével a fertőzöttség elleni védekezés és a mentesítési program alapját a klasszikus járványvédelmi és állományvédelmi módszerek adhatják. A szélesebb körű nemzetközi mentesítési tapasztalatok hiánya miatt korábbi, ilyen jellegű ismeretekre nem lehet támaszkodni</w:t>
      </w:r>
      <w:r w:rsidR="00F76F8F" w:rsidRPr="00B34A3A">
        <w:rPr>
          <w:color w:val="000000"/>
        </w:rPr>
        <w:t>,</w:t>
      </w:r>
      <w:r w:rsidRPr="00B34A3A">
        <w:rPr>
          <w:color w:val="000000"/>
        </w:rPr>
        <w:t xml:space="preserve"> éppen ezért a mentesítési program során az OIE ajánlásait messzemenően szem előtt tartva kell eljárni. </w:t>
      </w:r>
      <w:r w:rsidR="00B5068F" w:rsidRPr="00B34A3A">
        <w:rPr>
          <w:color w:val="000000"/>
        </w:rPr>
        <w:t>Ennek megfelelően a 3/2014. (I. 16.) VM rendelet előírásai közül mind a mentesítés alá vont, mind az egyéb terület</w:t>
      </w:r>
      <w:r w:rsidR="00E10454" w:rsidRPr="00B34A3A">
        <w:rPr>
          <w:color w:val="000000"/>
        </w:rPr>
        <w:t>e</w:t>
      </w:r>
      <w:r w:rsidR="00575D25" w:rsidRPr="00B34A3A">
        <w:rPr>
          <w:color w:val="000000"/>
        </w:rPr>
        <w:t>ke</w:t>
      </w:r>
      <w:r w:rsidR="00B5068F" w:rsidRPr="00B34A3A">
        <w:rPr>
          <w:color w:val="000000"/>
        </w:rPr>
        <w:t xml:space="preserve">n kizárólag a Nemzeti Mentesítési Tervben foglaltakat kell végrehajtani. </w:t>
      </w:r>
      <w:r w:rsidRPr="00B34A3A">
        <w:rPr>
          <w:color w:val="000000"/>
        </w:rPr>
        <w:t xml:space="preserve">Az alább részletezett program, bár számos kockázati elemet hordoz, sikeres végrehajtása esetén hazánk, a PRRS okozta veszteségeinek csökkenése, vagy felszámolása mellett, </w:t>
      </w:r>
      <w:r w:rsidR="00CF63D6" w:rsidRPr="00B34A3A">
        <w:rPr>
          <w:color w:val="000000"/>
        </w:rPr>
        <w:t xml:space="preserve">a nemzetközi piacokon </w:t>
      </w:r>
      <w:r w:rsidRPr="00B34A3A">
        <w:rPr>
          <w:color w:val="000000"/>
        </w:rPr>
        <w:t xml:space="preserve">jelentős előnyt </w:t>
      </w:r>
      <w:r w:rsidR="003624D6" w:rsidRPr="00B34A3A">
        <w:rPr>
          <w:color w:val="000000"/>
        </w:rPr>
        <w:t>szerezhet</w:t>
      </w:r>
      <w:r w:rsidRPr="00B34A3A">
        <w:rPr>
          <w:color w:val="000000"/>
        </w:rPr>
        <w:t xml:space="preserve">.  Hangsúlyozni kell viszont, hogy a vírus változékonysága, a hatékony differenciálásra is alkalmas vakcina hiánya, továbbá a diagnosztikai nehézségek miatt a mentesítési program rendkívüli körültekintést és fegyelmet követel. </w:t>
      </w:r>
    </w:p>
    <w:p w:rsidR="00D91974" w:rsidRPr="00B34A3A" w:rsidRDefault="00D91974" w:rsidP="00B34A3A">
      <w:pPr>
        <w:rPr>
          <w:color w:val="000000"/>
        </w:rPr>
      </w:pPr>
    </w:p>
    <w:p w:rsidR="000E7028" w:rsidRPr="00B34A3A" w:rsidRDefault="00D91974" w:rsidP="00B34A3A">
      <w:pPr>
        <w:rPr>
          <w:color w:val="000000"/>
        </w:rPr>
      </w:pPr>
      <w:r w:rsidRPr="00B34A3A">
        <w:rPr>
          <w:color w:val="000000"/>
        </w:rPr>
        <w:br w:type="page"/>
      </w:r>
    </w:p>
    <w:p w:rsidR="00D75CC0" w:rsidRPr="00B34A3A" w:rsidRDefault="00D75CC0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B34A3A">
        <w:rPr>
          <w:b/>
          <w:iCs/>
          <w:sz w:val="26"/>
          <w:szCs w:val="26"/>
        </w:rPr>
        <w:lastRenderedPageBreak/>
        <w:t>A Nemzeti Mentesítési Terv célja</w:t>
      </w:r>
    </w:p>
    <w:p w:rsidR="00D75CC0" w:rsidRPr="00B34A3A" w:rsidRDefault="00D75CC0" w:rsidP="00B34A3A"/>
    <w:p w:rsidR="007B1FBC" w:rsidRDefault="00D75CC0" w:rsidP="00B34A3A">
      <w:r w:rsidRPr="00B34A3A">
        <w:t xml:space="preserve">A hazai sertésállomány PRRS fertőzöttségének csökkentése, ezáltal a betegség okozta gazdasági kártétel mérséklése. Rövid távú (2015 első </w:t>
      </w:r>
      <w:r w:rsidR="00CB6E5A" w:rsidRPr="00B34A3A">
        <w:t>félév</w:t>
      </w:r>
      <w:r w:rsidRPr="00B34A3A">
        <w:t xml:space="preserve">) cél, hogy az ország 2 régiójában, </w:t>
      </w:r>
      <w:r w:rsidR="00F8601E">
        <w:t xml:space="preserve">6 megyéjében (Zala, Vas, </w:t>
      </w:r>
      <w:r w:rsidRPr="00B34A3A">
        <w:t xml:space="preserve">illetve Nógrád, Heves, Borsod-Abaúj-Zemplén, Szabolcs-Szatmár-Bereg) valamennyi sertésállomány PRRS </w:t>
      </w:r>
      <w:proofErr w:type="gramStart"/>
      <w:r w:rsidRPr="00B34A3A">
        <w:t>mentes</w:t>
      </w:r>
      <w:proofErr w:type="gramEnd"/>
      <w:r w:rsidRPr="00B34A3A">
        <w:t xml:space="preserve"> minősítéssel rendelkezzen. </w:t>
      </w:r>
    </w:p>
    <w:p w:rsidR="000F262F" w:rsidRDefault="002C3C29" w:rsidP="00B34A3A">
      <w:r w:rsidRPr="002C3C29">
        <w:t xml:space="preserve">Középtávú (2016. június 30.) megvalósítandó feladat, hogy Baranya, Tolna, Pest és Fejér megyében befejeződjön a sertésállományok PRRS mentesítése.  </w:t>
      </w:r>
    </w:p>
    <w:p w:rsidR="00D75CC0" w:rsidRPr="0047287A" w:rsidRDefault="002C3C29" w:rsidP="00B34A3A">
      <w:r w:rsidRPr="002C3C29">
        <w:t xml:space="preserve">A hosszabb távú célok (2020) elérése érdekében Komárom-Esztergom és Hajdú-Bihar megye területét 2014. november 1.-től, Győr-Moson-Sopron, Veszprém valamint Békés és Csongrád megyék területét </w:t>
      </w:r>
      <w:proofErr w:type="gramStart"/>
      <w:r w:rsidRPr="002C3C29">
        <w:t>2015. novemberé</w:t>
      </w:r>
      <w:r w:rsidR="000F262F">
        <w:t>től</w:t>
      </w:r>
      <w:proofErr w:type="gramEnd"/>
      <w:r w:rsidRPr="002C3C29">
        <w:t xml:space="preserve"> </w:t>
      </w:r>
      <w:r w:rsidR="000F262F">
        <w:t>kell mentesítés alá vonni</w:t>
      </w:r>
      <w:r w:rsidRPr="002C3C29">
        <w:t xml:space="preserve">. </w:t>
      </w:r>
      <w:r w:rsidR="000F262F">
        <w:t>A</w:t>
      </w:r>
      <w:r w:rsidRPr="002C3C29">
        <w:t xml:space="preserve">z egész ország mentes státuszának elérésére, és </w:t>
      </w:r>
      <w:r w:rsidR="000F262F" w:rsidRPr="0047287A">
        <w:t xml:space="preserve">a magyarországi sertéstartók számára </w:t>
      </w:r>
      <w:r w:rsidRPr="002C3C29">
        <w:t>az abból fakadó gazdasági előnyök kihasználására</w:t>
      </w:r>
      <w:r w:rsidR="000F262F" w:rsidRPr="0047287A">
        <w:t xml:space="preserve">2020 a végső </w:t>
      </w:r>
      <w:proofErr w:type="gramStart"/>
      <w:r w:rsidR="000F262F" w:rsidRPr="0047287A">
        <w:t xml:space="preserve">határidő </w:t>
      </w:r>
      <w:r w:rsidRPr="002C3C29">
        <w:t>.</w:t>
      </w:r>
      <w:proofErr w:type="gramEnd"/>
    </w:p>
    <w:p w:rsidR="00A720A9" w:rsidRPr="00B34A3A" w:rsidRDefault="00A720A9" w:rsidP="00B34A3A"/>
    <w:p w:rsidR="00EA1C3C" w:rsidRPr="00E4107E" w:rsidRDefault="00A720A9" w:rsidP="00D91D40">
      <w:pPr>
        <w:pStyle w:val="Listaszerbekezds"/>
        <w:numPr>
          <w:ilvl w:val="0"/>
          <w:numId w:val="19"/>
        </w:numPr>
        <w:rPr>
          <w:b/>
        </w:rPr>
      </w:pPr>
      <w:r w:rsidRPr="00E4107E">
        <w:rPr>
          <w:b/>
        </w:rPr>
        <w:t>Fogalom meghatározások</w:t>
      </w:r>
      <w:r w:rsidR="00EA1C3C" w:rsidRPr="00E4107E">
        <w:rPr>
          <w:b/>
        </w:rPr>
        <w:t xml:space="preserve"> </w:t>
      </w:r>
    </w:p>
    <w:p w:rsidR="00EA1C3C" w:rsidRPr="00B34A3A" w:rsidRDefault="00EA1C3C" w:rsidP="00B34A3A">
      <w:pPr>
        <w:rPr>
          <w:i/>
          <w:u w:val="single"/>
        </w:rPr>
      </w:pPr>
    </w:p>
    <w:p w:rsidR="00590AA3" w:rsidRPr="0041109F" w:rsidRDefault="00590AA3" w:rsidP="00E4107E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>nagylétszámú állomány:</w:t>
      </w:r>
      <w:r w:rsidRPr="00B34A3A">
        <w:t xml:space="preserve"> több mint száz sertésből álló állomány;</w:t>
      </w:r>
    </w:p>
    <w:p w:rsidR="0041109F" w:rsidRPr="00B34A3A" w:rsidRDefault="0041109F" w:rsidP="00E4107E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>kislétszámú állomány:</w:t>
      </w:r>
      <w:r w:rsidRPr="00B34A3A">
        <w:t xml:space="preserve"> legfeljebb száz sertésből álló állomány;</w:t>
      </w:r>
    </w:p>
    <w:p w:rsidR="00590AA3" w:rsidRPr="0041109F" w:rsidRDefault="00590AA3" w:rsidP="0041109F">
      <w:pPr>
        <w:pStyle w:val="Listaszerbekezds"/>
        <w:numPr>
          <w:ilvl w:val="1"/>
          <w:numId w:val="10"/>
        </w:numPr>
        <w:rPr>
          <w:i/>
        </w:rPr>
      </w:pPr>
      <w:r w:rsidRPr="0041109F">
        <w:rPr>
          <w:i/>
        </w:rPr>
        <w:t>önálló árutermelő hízóállomány:</w:t>
      </w:r>
      <w:r w:rsidRPr="00B34A3A">
        <w:t xml:space="preserve"> olyan állo</w:t>
      </w:r>
      <w:r w:rsidR="0041109F">
        <w:t xml:space="preserve">mány, amelyben a sertéseket nem </w:t>
      </w:r>
      <w:r w:rsidRPr="00B34A3A">
        <w:t>saját fogyasztásra történő hízlalási céllal tartják, és ahol szaporítás nem folyik;</w:t>
      </w:r>
    </w:p>
    <w:p w:rsidR="00590AA3" w:rsidRPr="00B34A3A" w:rsidRDefault="00590AA3" w:rsidP="00E4107E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>sertés-tenyészállomány:</w:t>
      </w:r>
      <w:r w:rsidRPr="00B34A3A">
        <w:t xml:space="preserve"> az a sertésállomány, amelyben szaporítás céljából tenyészkant, tenyészkocasüldőt vagy tenyészkocát tartanak;</w:t>
      </w:r>
    </w:p>
    <w:p w:rsidR="00590AA3" w:rsidRPr="00B34A3A" w:rsidRDefault="00590AA3" w:rsidP="00E4107E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>tenyészkan:</w:t>
      </w:r>
      <w:r w:rsidRPr="00B34A3A">
        <w:t xml:space="preserve"> hat hónaposnál idősebb, az állattenyésztési jogszabályok szerint tenyésztési célra kiválasztott, hímivarú sertés;</w:t>
      </w:r>
    </w:p>
    <w:p w:rsidR="00590AA3" w:rsidRPr="00B34A3A" w:rsidRDefault="00590AA3" w:rsidP="00E4107E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>tenyészkoca:</w:t>
      </w:r>
      <w:r w:rsidRPr="00B34A3A">
        <w:t xml:space="preserve"> az állattenyésztési jogszabályok szerint tenyésztési célra kiválasztott, már legalább egyszer fialt nőivarú sertés;</w:t>
      </w:r>
    </w:p>
    <w:p w:rsidR="00590AA3" w:rsidRPr="00B34A3A" w:rsidRDefault="00590AA3" w:rsidP="00E4107E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>tenyészkocasüldő:</w:t>
      </w:r>
      <w:r w:rsidRPr="00B34A3A">
        <w:t xml:space="preserve"> hat hónaposnál idősebb, az állattenyésztési jogszabályok szerint tenyésztési célra kiválasztott, még egyszer sem fialt, nőivarú sertés;</w:t>
      </w:r>
    </w:p>
    <w:p w:rsidR="0041109F" w:rsidRDefault="00590AA3" w:rsidP="0041109F">
      <w:pPr>
        <w:pStyle w:val="Listaszerbekezds"/>
        <w:numPr>
          <w:ilvl w:val="1"/>
          <w:numId w:val="10"/>
        </w:numPr>
        <w:rPr>
          <w:i/>
        </w:rPr>
      </w:pPr>
      <w:r w:rsidRPr="0041109F">
        <w:rPr>
          <w:i/>
        </w:rPr>
        <w:t>hízósertés:</w:t>
      </w:r>
      <w:r w:rsidRPr="00B34A3A">
        <w:t xml:space="preserve"> legalább 100 napos sertés.</w:t>
      </w:r>
      <w:r w:rsidR="0041109F">
        <w:t xml:space="preserve"> </w:t>
      </w:r>
      <w:r w:rsidRPr="0041109F">
        <w:rPr>
          <w:i/>
        </w:rPr>
        <w:t>növendék sertés</w:t>
      </w:r>
      <w:r w:rsidRPr="00B34A3A">
        <w:t>: sertések életkor szerinti csoportja mely a választástól 100 napos korig tart</w:t>
      </w:r>
      <w:r w:rsidRPr="0041109F">
        <w:rPr>
          <w:i/>
        </w:rPr>
        <w:t>.</w:t>
      </w:r>
      <w:r w:rsidR="0041109F" w:rsidRPr="0041109F">
        <w:rPr>
          <w:i/>
        </w:rPr>
        <w:t xml:space="preserve"> </w:t>
      </w:r>
    </w:p>
    <w:p w:rsidR="0041109F" w:rsidRPr="0041109F" w:rsidRDefault="00507DFA" w:rsidP="00E4107E">
      <w:pPr>
        <w:pStyle w:val="Listaszerbekezds"/>
        <w:numPr>
          <w:ilvl w:val="1"/>
          <w:numId w:val="10"/>
        </w:numPr>
        <w:rPr>
          <w:i/>
        </w:rPr>
      </w:pPr>
      <w:r w:rsidRPr="0041109F">
        <w:rPr>
          <w:i/>
        </w:rPr>
        <w:t xml:space="preserve">mentes terület: </w:t>
      </w:r>
      <w:r w:rsidRPr="00B34A3A">
        <w:t>a Nemzeti Élelmiszerlánc-biztonsági Hivatal (a továbbiakban: NÉBIH)</w:t>
      </w:r>
      <w:r>
        <w:t xml:space="preserve"> határozatával mentesnek minősített megye vagy régió</w:t>
      </w:r>
      <w:r w:rsidR="0041109F">
        <w:t xml:space="preserve"> </w:t>
      </w:r>
    </w:p>
    <w:p w:rsidR="0041109F" w:rsidRPr="0041109F" w:rsidRDefault="0041109F" w:rsidP="0041109F">
      <w:pPr>
        <w:pStyle w:val="Listaszerbekezds"/>
        <w:numPr>
          <w:ilvl w:val="1"/>
          <w:numId w:val="10"/>
        </w:numPr>
        <w:ind w:left="851" w:hanging="489"/>
        <w:rPr>
          <w:i/>
        </w:rPr>
      </w:pPr>
      <w:r>
        <w:rPr>
          <w:i/>
        </w:rPr>
        <w:t xml:space="preserve"> </w:t>
      </w:r>
      <w:r w:rsidR="00DE7640" w:rsidRPr="0041109F">
        <w:rPr>
          <w:i/>
        </w:rPr>
        <w:t>mentesítés alá vont terület:</w:t>
      </w:r>
      <w:r w:rsidR="00DE7640" w:rsidRPr="00B34A3A">
        <w:t xml:space="preserve"> </w:t>
      </w:r>
      <w:r w:rsidR="00507DFA">
        <w:t xml:space="preserve">a NÉBIH </w:t>
      </w:r>
      <w:r w:rsidR="00DE7640" w:rsidRPr="00B34A3A">
        <w:t>által meghatározott kiterjedésű terület, amelyen a megyei kormányhivatal élelmiszerlánc-biztonsági és állategészségügyi igazgatóságának (a továbbiakban: élelmiszerlánc-biztonsági és állategészségügyi igazgatóság) rendelkezései alapján mentesítés zajlik;</w:t>
      </w:r>
      <w:r>
        <w:t xml:space="preserve"> </w:t>
      </w:r>
    </w:p>
    <w:p w:rsidR="0041109F" w:rsidRPr="0041109F" w:rsidRDefault="0041109F" w:rsidP="0041109F">
      <w:pPr>
        <w:pStyle w:val="Listaszerbekezds"/>
        <w:numPr>
          <w:ilvl w:val="1"/>
          <w:numId w:val="10"/>
        </w:numPr>
        <w:ind w:left="851" w:hanging="489"/>
        <w:rPr>
          <w:i/>
        </w:rPr>
      </w:pPr>
      <w:r>
        <w:rPr>
          <w:i/>
        </w:rPr>
        <w:t xml:space="preserve"> a</w:t>
      </w:r>
      <w:r w:rsidR="00DE7640" w:rsidRPr="0041109F">
        <w:rPr>
          <w:i/>
        </w:rPr>
        <w:t>z összes többi terület</w:t>
      </w:r>
      <w:r w:rsidR="00DE7640" w:rsidRPr="0041109F">
        <w:rPr>
          <w:b/>
          <w:i/>
          <w:color w:val="FF0000"/>
        </w:rPr>
        <w:t xml:space="preserve"> </w:t>
      </w:r>
      <w:r w:rsidR="00507DFA">
        <w:t>Magyarország mentes és mentesítés alatt álló területein kívüli megyék</w:t>
      </w:r>
      <w:r>
        <w:t xml:space="preserve"> </w:t>
      </w:r>
      <w:r w:rsidR="00DE7640" w:rsidRPr="0041109F">
        <w:rPr>
          <w:i/>
        </w:rPr>
        <w:t>megye:</w:t>
      </w:r>
      <w:r w:rsidR="00DE7640" w:rsidRPr="00B34A3A">
        <w:t xml:space="preserve"> jelenleg érvényes közigazgatási egység</w:t>
      </w:r>
      <w:r>
        <w:t xml:space="preserve"> </w:t>
      </w:r>
      <w:r w:rsidR="00DE7640" w:rsidRPr="0041109F">
        <w:rPr>
          <w:i/>
        </w:rPr>
        <w:t>régió:</w:t>
      </w:r>
      <w:r w:rsidR="00DE7640" w:rsidRPr="00B34A3A">
        <w:t xml:space="preserve"> megye</w:t>
      </w:r>
      <w:r w:rsidR="00507DFA">
        <w:t>, annak egy része</w:t>
      </w:r>
      <w:r w:rsidR="00DE7640" w:rsidRPr="00B34A3A">
        <w:t xml:space="preserve"> vagy egymással földrajzilag szomszédos megyék.</w:t>
      </w:r>
      <w:r>
        <w:t xml:space="preserve"> </w:t>
      </w:r>
    </w:p>
    <w:p w:rsidR="0041109F" w:rsidRPr="0041109F" w:rsidRDefault="0041109F" w:rsidP="0041109F">
      <w:pPr>
        <w:pStyle w:val="Listaszerbekezds"/>
        <w:numPr>
          <w:ilvl w:val="1"/>
          <w:numId w:val="10"/>
        </w:numPr>
        <w:ind w:left="851" w:hanging="489"/>
        <w:rPr>
          <w:i/>
        </w:rPr>
      </w:pPr>
      <w:r>
        <w:rPr>
          <w:i/>
        </w:rPr>
        <w:t xml:space="preserve"> </w:t>
      </w:r>
      <w:r w:rsidR="00DE7640" w:rsidRPr="0041109F">
        <w:rPr>
          <w:i/>
        </w:rPr>
        <w:t>minősítő vizsgálat:</w:t>
      </w:r>
      <w:r w:rsidR="00DE7640" w:rsidRPr="00B34A3A">
        <w:t xml:space="preserve"> Hatósági intézkedések céljából az állomány fertőzöttségének vizsgálata szerológiai módszerrel.</w:t>
      </w:r>
      <w:r>
        <w:t xml:space="preserve"> </w:t>
      </w:r>
    </w:p>
    <w:p w:rsidR="0041109F" w:rsidRPr="0041109F" w:rsidRDefault="0041109F" w:rsidP="0041109F">
      <w:pPr>
        <w:pStyle w:val="Listaszerbekezds"/>
        <w:numPr>
          <w:ilvl w:val="1"/>
          <w:numId w:val="10"/>
        </w:numPr>
        <w:ind w:left="851" w:hanging="489"/>
        <w:rPr>
          <w:i/>
        </w:rPr>
      </w:pPr>
      <w:r>
        <w:rPr>
          <w:i/>
        </w:rPr>
        <w:t xml:space="preserve"> </w:t>
      </w:r>
      <w:r w:rsidR="00DE7640" w:rsidRPr="0041109F">
        <w:rPr>
          <w:i/>
        </w:rPr>
        <w:t>alkalmazható szerológiai és virológiai vizsgálatok:</w:t>
      </w:r>
      <w:r w:rsidR="00DE7640" w:rsidRPr="00B34A3A">
        <w:t xml:space="preserve"> Az OIE ajánlásait figyelembe véve a Nemzeti Referencia Laboratórium </w:t>
      </w:r>
      <w:r w:rsidR="002C3C29" w:rsidRPr="002C3C29">
        <w:t>(NRL)</w:t>
      </w:r>
      <w:r w:rsidR="00BC4554">
        <w:t xml:space="preserve"> </w:t>
      </w:r>
      <w:r w:rsidR="00DE7640" w:rsidRPr="00BC4554">
        <w:t>hatáskörébe</w:t>
      </w:r>
      <w:r w:rsidR="00DE7640" w:rsidRPr="00B34A3A">
        <w:t xml:space="preserve"> tartozik, hogy a szerológiai és virológiai vizsgálatok elvégzésnél melyik módszert illetve módszereket kell használni.</w:t>
      </w:r>
      <w:r>
        <w:t xml:space="preserve"> </w:t>
      </w:r>
    </w:p>
    <w:p w:rsidR="00DE7640" w:rsidRPr="0041109F" w:rsidRDefault="00DE7640" w:rsidP="0041109F">
      <w:pPr>
        <w:pStyle w:val="Listaszerbekezds"/>
        <w:numPr>
          <w:ilvl w:val="1"/>
          <w:numId w:val="10"/>
        </w:numPr>
        <w:ind w:left="851" w:hanging="489"/>
        <w:rPr>
          <w:i/>
        </w:rPr>
      </w:pPr>
      <w:r w:rsidRPr="00B34A3A">
        <w:t xml:space="preserve">A sertés reprodukciós zavarokkal és légzőszervi tünetekkel járó szindrómájára (a  továbbiakban: PRRS) nézve </w:t>
      </w:r>
      <w:r w:rsidRPr="0041109F">
        <w:rPr>
          <w:b/>
          <w:i/>
        </w:rPr>
        <w:t>fertőzött az a sertés,</w:t>
      </w:r>
    </w:p>
    <w:p w:rsidR="00D91974" w:rsidRPr="00B34A3A" w:rsidRDefault="00D91974" w:rsidP="00B34A3A">
      <w:pPr>
        <w:pStyle w:val="Listaszerbekezds"/>
        <w:ind w:left="720"/>
        <w:rPr>
          <w:i/>
        </w:rPr>
      </w:pPr>
    </w:p>
    <w:p w:rsidR="00DE7640" w:rsidRPr="00B34A3A" w:rsidRDefault="00DE7640" w:rsidP="0041109F">
      <w:pPr>
        <w:pStyle w:val="Listaszerbekezds"/>
        <w:numPr>
          <w:ilvl w:val="2"/>
          <w:numId w:val="10"/>
        </w:numPr>
        <w:rPr>
          <w:i/>
        </w:rPr>
      </w:pPr>
      <w:r w:rsidRPr="00B34A3A">
        <w:t xml:space="preserve">amely a PRRS-re gyanút keltő tüneteket vagy kórbonctani </w:t>
      </w:r>
      <w:r w:rsidR="00D91974" w:rsidRPr="00B34A3A">
        <w:t xml:space="preserve">elváltozásokat </w:t>
      </w:r>
      <w:r w:rsidRPr="00B34A3A">
        <w:t>mutat, és  a betegség jelenléte virológiai vizsgálattal igazolt;</w:t>
      </w:r>
    </w:p>
    <w:p w:rsidR="00DE7640" w:rsidRPr="00B34A3A" w:rsidRDefault="00DE7640" w:rsidP="0041109F">
      <w:pPr>
        <w:pStyle w:val="Listaszerbekezds"/>
        <w:numPr>
          <w:ilvl w:val="2"/>
          <w:numId w:val="10"/>
        </w:numPr>
        <w:rPr>
          <w:i/>
        </w:rPr>
      </w:pPr>
      <w:r w:rsidRPr="00B34A3A">
        <w:lastRenderedPageBreak/>
        <w:t>amelyből a PRRS vírusa vagy annak genomja kimutatható;</w:t>
      </w:r>
    </w:p>
    <w:p w:rsidR="0041109F" w:rsidRPr="0041109F" w:rsidRDefault="00DE7640" w:rsidP="0041109F">
      <w:pPr>
        <w:pStyle w:val="Listaszerbekezds"/>
        <w:numPr>
          <w:ilvl w:val="2"/>
          <w:numId w:val="10"/>
        </w:numPr>
        <w:rPr>
          <w:i/>
        </w:rPr>
      </w:pPr>
      <w:r w:rsidRPr="00B34A3A">
        <w:t>amely a betegségre gyanút keltő tüneteket mutat, és olyan sertés tenyész-állományban vagy önálló árutermelő hízóállományban (a továbbiakban együtt: állomány) tartják, amelyben a fertőzöttséget hatóságilag megállapították;</w:t>
      </w:r>
      <w:r w:rsidR="0041109F">
        <w:t xml:space="preserve"> </w:t>
      </w:r>
    </w:p>
    <w:p w:rsidR="0041109F" w:rsidRPr="0041109F" w:rsidRDefault="00DE7640" w:rsidP="0041109F">
      <w:pPr>
        <w:pStyle w:val="Listaszerbekezds"/>
        <w:numPr>
          <w:ilvl w:val="2"/>
          <w:numId w:val="10"/>
        </w:numPr>
        <w:rPr>
          <w:i/>
        </w:rPr>
      </w:pPr>
      <w:r w:rsidRPr="00B34A3A">
        <w:t>amely szeropozitív, nem vakcinázott és a szeropozitivitást más szerológiai módszerrel is megerősítették.</w:t>
      </w:r>
      <w:r w:rsidR="0041109F">
        <w:t xml:space="preserve"> </w:t>
      </w:r>
    </w:p>
    <w:p w:rsidR="00D91974" w:rsidRPr="0041109F" w:rsidRDefault="0041109F" w:rsidP="00B34A3A">
      <w:pPr>
        <w:pStyle w:val="Listaszerbekezds"/>
        <w:numPr>
          <w:ilvl w:val="1"/>
          <w:numId w:val="10"/>
        </w:numPr>
        <w:ind w:left="993" w:hanging="633"/>
        <w:rPr>
          <w:i/>
        </w:rPr>
      </w:pPr>
      <w:r>
        <w:t>P</w:t>
      </w:r>
      <w:r w:rsidR="00DE7640" w:rsidRPr="00B34A3A">
        <w:t xml:space="preserve">RRS fertőzöttségre </w:t>
      </w:r>
      <w:r w:rsidR="00DE7640" w:rsidRPr="0041109F">
        <w:rPr>
          <w:b/>
          <w:i/>
        </w:rPr>
        <w:t>gyanús az a sertés</w:t>
      </w:r>
      <w:r w:rsidR="00DE7640" w:rsidRPr="00B34A3A">
        <w:t>,</w:t>
      </w:r>
    </w:p>
    <w:p w:rsidR="00DE7640" w:rsidRPr="00B34A3A" w:rsidRDefault="00DE7640" w:rsidP="0041109F">
      <w:pPr>
        <w:pStyle w:val="Listaszerbekezds"/>
        <w:numPr>
          <w:ilvl w:val="2"/>
          <w:numId w:val="10"/>
        </w:numPr>
        <w:rPr>
          <w:i/>
        </w:rPr>
      </w:pPr>
      <w:r w:rsidRPr="00B34A3A">
        <w:t>amelynek klinikai tünetei vagy kórbonctani elváltozásai a PRRS-re utalnak és a laboratóriumi vizsgálatok a betegség jelenlétét még nem igazolták</w:t>
      </w:r>
      <w:r w:rsidR="007B650B">
        <w:t xml:space="preserve"> vagy zárták ki</w:t>
      </w:r>
      <w:r w:rsidRPr="00B34A3A">
        <w:t>;</w:t>
      </w:r>
    </w:p>
    <w:p w:rsidR="0041109F" w:rsidRPr="0041109F" w:rsidRDefault="00DE7640" w:rsidP="0041109F">
      <w:pPr>
        <w:pStyle w:val="Listaszerbekezds"/>
        <w:numPr>
          <w:ilvl w:val="2"/>
          <w:numId w:val="10"/>
        </w:numPr>
        <w:rPr>
          <w:i/>
        </w:rPr>
      </w:pPr>
      <w:r w:rsidRPr="00B34A3A">
        <w:t>amelyet a megelőző hatvan napon belül fertőzött sertéssel együtt tartottak, vagy fertőzött sertéstől származó ondóval termékenyítettek</w:t>
      </w:r>
      <w:r w:rsidR="00D91974" w:rsidRPr="00B34A3A">
        <w:t>.</w:t>
      </w:r>
      <w:r w:rsidR="0041109F">
        <w:t xml:space="preserve"> </w:t>
      </w:r>
    </w:p>
    <w:p w:rsidR="00DE7640" w:rsidRPr="0041109F" w:rsidRDefault="0041109F" w:rsidP="0041109F">
      <w:pPr>
        <w:pStyle w:val="Listaszerbekezds"/>
        <w:numPr>
          <w:ilvl w:val="1"/>
          <w:numId w:val="10"/>
        </w:numPr>
        <w:ind w:left="993" w:hanging="633"/>
        <w:rPr>
          <w:i/>
        </w:rPr>
      </w:pPr>
      <w:r w:rsidRPr="0041109F">
        <w:rPr>
          <w:i/>
        </w:rPr>
        <w:t>KH ÉLBÁI</w:t>
      </w:r>
      <w:r>
        <w:t xml:space="preserve">: </w:t>
      </w:r>
      <w:r w:rsidR="00DE7640" w:rsidRPr="00B34A3A">
        <w:t>Megyei Kormányhivatal Élelmiszerlánc-biztonsági é</w:t>
      </w:r>
      <w:r>
        <w:t>s Állategészségügyi Igazgatósága</w:t>
      </w:r>
    </w:p>
    <w:p w:rsidR="0093571C" w:rsidRPr="00B34A3A" w:rsidRDefault="0093571C" w:rsidP="00B34A3A"/>
    <w:p w:rsidR="00121C0E" w:rsidRPr="00B34A3A" w:rsidRDefault="00121C0E" w:rsidP="00B34A3A">
      <w:pPr>
        <w:rPr>
          <w:i/>
        </w:rPr>
      </w:pPr>
    </w:p>
    <w:p w:rsidR="00D75CC0" w:rsidRPr="00B34A3A" w:rsidRDefault="00D75CC0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B34A3A">
        <w:rPr>
          <w:b/>
          <w:iCs/>
          <w:sz w:val="26"/>
          <w:szCs w:val="26"/>
        </w:rPr>
        <w:t>Járványügyi helyzet</w:t>
      </w:r>
    </w:p>
    <w:p w:rsidR="005E27E0" w:rsidRPr="00B34A3A" w:rsidRDefault="005E27E0" w:rsidP="00B34A3A"/>
    <w:p w:rsidR="005E27E0" w:rsidRPr="00B34A3A" w:rsidRDefault="005E27E0" w:rsidP="00B34A3A">
      <w:r w:rsidRPr="00B34A3A">
        <w:t xml:space="preserve">A NÉBIH elektronikus nyilvántartási rendszerében </w:t>
      </w:r>
      <w:r w:rsidR="00D1696E" w:rsidRPr="00B34A3A">
        <w:t>201</w:t>
      </w:r>
      <w:r w:rsidR="00D1696E">
        <w:t>4</w:t>
      </w:r>
      <w:r w:rsidRPr="00B34A3A">
        <w:t>-ben az alábbi adatok szerepelnek a nagylétszámú sertésállományok</w:t>
      </w:r>
      <w:r w:rsidR="00874F97">
        <w:t xml:space="preserve"> (tenyész- és hízóállományok egyaránt)</w:t>
      </w:r>
      <w:r w:rsidRPr="00B34A3A">
        <w:t xml:space="preserve"> PRRS fertőzöttségé</w:t>
      </w:r>
      <w:r w:rsidR="00874F97">
        <w:t>-</w:t>
      </w:r>
      <w:r w:rsidR="00D1696E">
        <w:t>nek</w:t>
      </w:r>
      <w:r w:rsidRPr="00B34A3A">
        <w:t xml:space="preserve"> vonatkozásában:</w:t>
      </w:r>
    </w:p>
    <w:p w:rsidR="00D75CC0" w:rsidRPr="00B34A3A" w:rsidRDefault="00D75CC0" w:rsidP="00B34A3A"/>
    <w:p w:rsidR="00D75CC0" w:rsidRPr="00B34A3A" w:rsidRDefault="00D75CC0" w:rsidP="00B34A3A"/>
    <w:tbl>
      <w:tblPr>
        <w:tblW w:w="52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360"/>
        <w:gridCol w:w="960"/>
        <w:gridCol w:w="960"/>
        <w:gridCol w:w="960"/>
        <w:gridCol w:w="960"/>
      </w:tblGrid>
      <w:tr w:rsidR="00AE5D66" w:rsidRPr="00AE5D66" w:rsidTr="00AE5D66">
        <w:trPr>
          <w:trHeight w:val="4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AE5D6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Szárm. megye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AE5D6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Összes állomány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AE5D6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Ebből pozitív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AE5D6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Lelet db (poz)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AE5D66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Lelet db (neg)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Baranya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7935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B.-A.-Z.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2407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Bács-Kiskun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4598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Békés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1675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Csongrád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1651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Fejér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1376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Gy.-M.-S.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448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Hajdú-Bihar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3667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Heves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807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J.-NK.-Sz.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1470</w:t>
            </w:r>
          </w:p>
        </w:tc>
      </w:tr>
      <w:tr w:rsidR="00AE5D66" w:rsidRPr="00AE5D66" w:rsidTr="00AE5D66">
        <w:trPr>
          <w:trHeight w:val="6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Komárom-Esztergom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1959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Nógrád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Pest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687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Somogy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1541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Sz.-Sz.-B.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1920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Tolna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3920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Vas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Veszprém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338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Zala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1130</w:t>
            </w:r>
          </w:p>
        </w:tc>
      </w:tr>
      <w:tr w:rsidR="00AE5D66" w:rsidRPr="00AE5D66" w:rsidTr="00AE5D66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38338</w:t>
            </w:r>
          </w:p>
        </w:tc>
      </w:tr>
    </w:tbl>
    <w:p w:rsidR="00D75CC0" w:rsidRPr="00B34A3A" w:rsidRDefault="00D75CC0" w:rsidP="00B34A3A"/>
    <w:p w:rsidR="00D75CC0" w:rsidRPr="00B34A3A" w:rsidRDefault="00D75CC0" w:rsidP="00B34A3A"/>
    <w:p w:rsidR="0041109F" w:rsidRDefault="0041109F" w:rsidP="00B34A3A"/>
    <w:p w:rsidR="0041109F" w:rsidRDefault="0041109F" w:rsidP="00B34A3A"/>
    <w:p w:rsidR="0041109F" w:rsidRDefault="0041109F" w:rsidP="00B34A3A"/>
    <w:p w:rsidR="0041109F" w:rsidRDefault="0041109F" w:rsidP="00B34A3A"/>
    <w:p w:rsidR="00DE04BF" w:rsidRDefault="00AE5D66" w:rsidP="00B34A3A">
      <w:r>
        <w:t xml:space="preserve">A kislétszámú udvarokban </w:t>
      </w:r>
      <w:r w:rsidR="00874F97">
        <w:t>2014-ben el</w:t>
      </w:r>
      <w:r>
        <w:t>végzett vizsgálatok a következő eredményre vezettek:</w:t>
      </w:r>
    </w:p>
    <w:p w:rsidR="00AE5D66" w:rsidRDefault="00AE5D66" w:rsidP="00B34A3A"/>
    <w:tbl>
      <w:tblPr>
        <w:tblW w:w="79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360"/>
        <w:gridCol w:w="1128"/>
        <w:gridCol w:w="1500"/>
        <w:gridCol w:w="1420"/>
        <w:gridCol w:w="1540"/>
      </w:tblGrid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Mintaszám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Udvarok száma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Pozitív minták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Pozitív udvarok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Bács-Kiskun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8315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Baranya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Békés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Borsod-Abaúj-Zemplén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Budapest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Csongrád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3658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Fejér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1652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Győr-Moson-Sopron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3323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Hajdú-Bihar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4521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1265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Heves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Jász-Nagykun-Szolnok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3759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Komárom-Esztergom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1072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Nógrád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Pest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2051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Somogy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2979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Szabolcs-Szatmár-Bereg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2471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Tolna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2161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Vas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Veszprém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1711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Zala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5D66" w:rsidRPr="00AE5D66" w:rsidTr="00AE5D6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45910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12397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D66" w:rsidRPr="00AE5D66" w:rsidRDefault="00AE5D66" w:rsidP="00AE5D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5D66"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</w:tr>
    </w:tbl>
    <w:p w:rsidR="00AE5D66" w:rsidRPr="00B34A3A" w:rsidRDefault="00AE5D66" w:rsidP="00B34A3A"/>
    <w:p w:rsidR="008A0A0E" w:rsidRPr="00B34A3A" w:rsidRDefault="008A0A0E" w:rsidP="00B34A3A">
      <w:pPr>
        <w:rPr>
          <w:i/>
        </w:rPr>
      </w:pPr>
    </w:p>
    <w:p w:rsidR="00D75CC0" w:rsidRPr="00B34A3A" w:rsidRDefault="00D75CC0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B34A3A">
        <w:rPr>
          <w:b/>
          <w:iCs/>
          <w:sz w:val="26"/>
          <w:szCs w:val="26"/>
        </w:rPr>
        <w:t>Jogszabályi háttér</w:t>
      </w:r>
    </w:p>
    <w:p w:rsidR="005E27E0" w:rsidRPr="00B34A3A" w:rsidRDefault="005E27E0" w:rsidP="00B34A3A">
      <w:pPr>
        <w:rPr>
          <w:i/>
        </w:rPr>
      </w:pPr>
    </w:p>
    <w:p w:rsidR="00E92DBD" w:rsidRPr="00B34A3A" w:rsidRDefault="00121C0E" w:rsidP="00B34A3A">
      <w:pPr>
        <w:pStyle w:val="Listaszerbekezds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>A sertések szaporító és légzőszervi tünetegyüttese (PRRS) az állategész</w:t>
      </w:r>
      <w:r w:rsidRPr="00B34A3A">
        <w:rPr>
          <w:rFonts w:eastAsia="Calibri"/>
          <w:color w:val="000000"/>
        </w:rPr>
        <w:t>ség</w:t>
      </w:r>
      <w:r w:rsidR="005E27E0" w:rsidRPr="00B34A3A">
        <w:rPr>
          <w:rFonts w:eastAsia="Calibri"/>
          <w:color w:val="000000"/>
        </w:rPr>
        <w:t xml:space="preserve">ügyről szóló 1995.évi XCI. törvény alapján </w:t>
      </w:r>
      <w:r w:rsidR="005E27E0" w:rsidRPr="00B34A3A">
        <w:rPr>
          <w:rFonts w:eastAsia="Calibri"/>
          <w:b/>
          <w:bCs/>
          <w:color w:val="000000"/>
        </w:rPr>
        <w:t>1996. július 1-től bejelentési kötelezettség alá tartozó</w:t>
      </w:r>
      <w:r w:rsidR="00E92DBD" w:rsidRPr="00B34A3A">
        <w:rPr>
          <w:rFonts w:eastAsia="Calibri"/>
          <w:b/>
          <w:bCs/>
          <w:color w:val="000000"/>
        </w:rPr>
        <w:t xml:space="preserve"> </w:t>
      </w:r>
      <w:r w:rsidR="005E27E0" w:rsidRPr="00B34A3A">
        <w:rPr>
          <w:rFonts w:eastAsia="Calibri"/>
          <w:b/>
          <w:bCs/>
          <w:color w:val="000000"/>
        </w:rPr>
        <w:t xml:space="preserve">állatbetegség </w:t>
      </w:r>
      <w:r w:rsidR="005E27E0" w:rsidRPr="00B34A3A">
        <w:rPr>
          <w:rFonts w:eastAsia="Calibri"/>
          <w:color w:val="000000"/>
        </w:rPr>
        <w:t>lett Magyarországon. A végrehajtási szabályokat a 41/1997.(V.28.) FM</w:t>
      </w:r>
      <w:r w:rsidR="00E92DBD"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>rendelettel kiadott Állategész</w:t>
      </w:r>
      <w:r w:rsidRPr="00B34A3A">
        <w:rPr>
          <w:rFonts w:eastAsia="Calibri"/>
          <w:color w:val="000000"/>
        </w:rPr>
        <w:t>ség</w:t>
      </w:r>
      <w:r w:rsidR="005E27E0" w:rsidRPr="00B34A3A">
        <w:rPr>
          <w:rFonts w:eastAsia="Calibri"/>
          <w:color w:val="000000"/>
        </w:rPr>
        <w:t>ügyi Szabályzat tartalmazta. (A sertés állományok védelme</w:t>
      </w:r>
      <w:r w:rsidR="00E92DBD"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>című rész (208.§-210.§) és a PRRS-re vonatkozó 499.§-513.§).</w:t>
      </w:r>
      <w:r w:rsidR="00E92DBD" w:rsidRPr="00B34A3A">
        <w:rPr>
          <w:rFonts w:eastAsia="Calibri"/>
          <w:color w:val="000000"/>
        </w:rPr>
        <w:t xml:space="preserve"> </w:t>
      </w:r>
    </w:p>
    <w:p w:rsidR="005E27E0" w:rsidRPr="00B34A3A" w:rsidRDefault="00121C0E" w:rsidP="00B34A3A">
      <w:pPr>
        <w:pStyle w:val="Listaszerbekezds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B34A3A">
        <w:rPr>
          <w:rFonts w:eastAsia="Calibri"/>
          <w:b/>
          <w:bCs/>
          <w:color w:val="000000"/>
        </w:rPr>
        <w:t xml:space="preserve"> </w:t>
      </w:r>
      <w:r w:rsidR="005E27E0" w:rsidRPr="00B34A3A">
        <w:rPr>
          <w:rFonts w:eastAsia="Calibri"/>
          <w:b/>
          <w:bCs/>
          <w:color w:val="000000"/>
        </w:rPr>
        <w:t xml:space="preserve">2001. VII.6-tól </w:t>
      </w:r>
      <w:r w:rsidR="005E27E0" w:rsidRPr="00B34A3A">
        <w:rPr>
          <w:rFonts w:eastAsia="Calibri"/>
          <w:color w:val="000000"/>
        </w:rPr>
        <w:t>az állategészségügyi törvényt módosító 2001. évi XXII. törvény</w:t>
      </w:r>
      <w:r w:rsidR="00E92DBD"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b/>
          <w:bCs/>
          <w:color w:val="000000"/>
        </w:rPr>
        <w:t>megszüntette a bejelentési kötelezettséget</w:t>
      </w:r>
      <w:r w:rsidR="005E27E0" w:rsidRPr="00B34A3A">
        <w:rPr>
          <w:rFonts w:eastAsia="Calibri"/>
          <w:color w:val="000000"/>
        </w:rPr>
        <w:t>, a 30/2002. (IV. 19.) FVM rendelet pedig</w:t>
      </w:r>
      <w:r w:rsidR="00E92DBD"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>hatályon kívül helyezte a PRRS-re vonatkozó végrehajtási szabá</w:t>
      </w:r>
      <w:r w:rsidR="00E92DBD" w:rsidRPr="00B34A3A">
        <w:rPr>
          <w:rFonts w:eastAsia="Calibri"/>
          <w:color w:val="000000"/>
        </w:rPr>
        <w:t>lyo</w:t>
      </w:r>
      <w:r w:rsidR="005E27E0" w:rsidRPr="00B34A3A">
        <w:rPr>
          <w:rFonts w:eastAsia="Calibri"/>
          <w:color w:val="000000"/>
        </w:rPr>
        <w:t>kat.</w:t>
      </w:r>
    </w:p>
    <w:p w:rsidR="00121C0E" w:rsidRPr="00B34A3A" w:rsidRDefault="00121C0E" w:rsidP="00B34A3A">
      <w:pPr>
        <w:pStyle w:val="Listaszerbekezds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 xml:space="preserve">Az állategészségügyről szóló 2005. évi CLXXVI. törvény </w:t>
      </w:r>
      <w:r w:rsidR="005E27E0" w:rsidRPr="00B34A3A">
        <w:rPr>
          <w:rFonts w:eastAsia="Calibri"/>
          <w:b/>
          <w:bCs/>
          <w:color w:val="000000"/>
        </w:rPr>
        <w:t>2006. július 1-től ismét</w:t>
      </w:r>
      <w:r w:rsidR="00D662AB" w:rsidRPr="00B34A3A">
        <w:rPr>
          <w:rFonts w:eastAsia="Calibri"/>
          <w:b/>
          <w:bCs/>
          <w:color w:val="000000"/>
        </w:rPr>
        <w:t xml:space="preserve"> </w:t>
      </w:r>
      <w:r w:rsidR="005E27E0" w:rsidRPr="00B34A3A">
        <w:rPr>
          <w:rFonts w:eastAsia="Calibri"/>
          <w:b/>
          <w:bCs/>
          <w:color w:val="000000"/>
        </w:rPr>
        <w:t xml:space="preserve">(be)jelentési kötelezettség </w:t>
      </w:r>
      <w:r w:rsidR="005E27E0" w:rsidRPr="00B34A3A">
        <w:rPr>
          <w:rFonts w:eastAsia="Calibri"/>
          <w:color w:val="000000"/>
        </w:rPr>
        <w:t>alá vonta</w:t>
      </w:r>
      <w:r w:rsidR="004231FD" w:rsidRPr="00B34A3A">
        <w:rPr>
          <w:rFonts w:eastAsia="Calibri"/>
          <w:color w:val="000000"/>
        </w:rPr>
        <w:t>.</w:t>
      </w:r>
    </w:p>
    <w:p w:rsidR="006B7FCC" w:rsidRPr="00B34A3A" w:rsidRDefault="00121C0E" w:rsidP="00B34A3A">
      <w:pPr>
        <w:pStyle w:val="Listaszerbekezds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 xml:space="preserve">Az élelmiszerláncról és hatósági felügyeletéről szóló </w:t>
      </w:r>
      <w:r w:rsidR="005E27E0" w:rsidRPr="00B34A3A">
        <w:rPr>
          <w:rFonts w:eastAsia="Calibri"/>
          <w:b/>
          <w:bCs/>
          <w:color w:val="000000"/>
        </w:rPr>
        <w:t xml:space="preserve">2008. évi XLVI. törvény </w:t>
      </w:r>
      <w:r w:rsidR="005E27E0" w:rsidRPr="00B34A3A">
        <w:rPr>
          <w:rFonts w:eastAsia="Calibri"/>
          <w:color w:val="000000"/>
        </w:rPr>
        <w:t>adta</w:t>
      </w:r>
      <w:r w:rsidR="00D662AB"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>felhatalmazás alapján kiadott, az állatbetegségek bejelentési rendjéről szóló 113/2008.</w:t>
      </w:r>
      <w:r w:rsidR="00D662AB"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 xml:space="preserve">(VIII.30.) FVM rendelet </w:t>
      </w:r>
      <w:r w:rsidR="005E27E0" w:rsidRPr="00B34A3A">
        <w:rPr>
          <w:rFonts w:eastAsia="Calibri"/>
          <w:b/>
          <w:bCs/>
          <w:color w:val="000000"/>
        </w:rPr>
        <w:t xml:space="preserve">újra bejelentési kötelezettség </w:t>
      </w:r>
      <w:r w:rsidR="005E27E0" w:rsidRPr="00B34A3A">
        <w:rPr>
          <w:rFonts w:eastAsia="Calibri"/>
          <w:color w:val="000000"/>
        </w:rPr>
        <w:t>alá sorolja.</w:t>
      </w:r>
    </w:p>
    <w:p w:rsidR="006B7FCC" w:rsidRPr="00B34A3A" w:rsidRDefault="006B7FCC" w:rsidP="00B34A3A">
      <w:pPr>
        <w:pStyle w:val="Listaszerbekezds"/>
        <w:autoSpaceDE w:val="0"/>
        <w:autoSpaceDN w:val="0"/>
        <w:adjustRightInd w:val="0"/>
        <w:ind w:left="720"/>
        <w:rPr>
          <w:rFonts w:eastAsia="Calibri"/>
          <w:color w:val="000000"/>
        </w:rPr>
      </w:pPr>
    </w:p>
    <w:p w:rsidR="005E27E0" w:rsidRPr="00B34A3A" w:rsidRDefault="005E27E0" w:rsidP="00B34A3A">
      <w:pPr>
        <w:pStyle w:val="Listaszerbekezds"/>
        <w:autoSpaceDE w:val="0"/>
        <w:autoSpaceDN w:val="0"/>
        <w:adjustRightInd w:val="0"/>
        <w:ind w:left="720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lastRenderedPageBreak/>
        <w:t>A jelenleg hatályos, 2008. évi XLVI. törvény az élelmiszerláncról és hatósági felügyeletéről</w:t>
      </w:r>
      <w:r w:rsidR="00D662AB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kimondja:</w:t>
      </w:r>
    </w:p>
    <w:p w:rsidR="005E27E0" w:rsidRPr="00B34A3A" w:rsidRDefault="005E27E0" w:rsidP="00B34A3A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B34A3A">
        <w:rPr>
          <w:rFonts w:eastAsia="Calibri"/>
          <w:color w:val="000000"/>
        </w:rPr>
        <w:t xml:space="preserve">„Az </w:t>
      </w:r>
      <w:r w:rsidRPr="00B34A3A">
        <w:rPr>
          <w:rFonts w:eastAsia="Calibri"/>
          <w:b/>
          <w:bCs/>
          <w:color w:val="000000"/>
        </w:rPr>
        <w:t>állattartó és az állatorvos jogai és kötelezettségei</w:t>
      </w:r>
    </w:p>
    <w:p w:rsidR="005E27E0" w:rsidRPr="00B34A3A" w:rsidRDefault="005E27E0" w:rsidP="00B34A3A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18. § (1) Az állattartó köteles</w:t>
      </w:r>
    </w:p>
    <w:p w:rsidR="005E27E0" w:rsidRPr="00B34A3A" w:rsidRDefault="005E27E0" w:rsidP="00B34A3A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a) állata rendszeres ellátásáról és felügyeletéről gondoskodni;</w:t>
      </w:r>
    </w:p>
    <w:p w:rsidR="000933D8" w:rsidRDefault="005E27E0" w:rsidP="000933D8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b) e törvény végrehajtására kiadott jogszabályban, valamint az Európai Unió köz</w:t>
      </w:r>
      <w:r w:rsidR="000933D8">
        <w:rPr>
          <w:rFonts w:eastAsia="Calibri"/>
          <w:color w:val="000000"/>
        </w:rPr>
        <w:t>vetle-</w:t>
      </w:r>
    </w:p>
    <w:p w:rsidR="000933D8" w:rsidRDefault="005E27E0" w:rsidP="000933D8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nül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alkalmazandó jogi aktusaiban meghatározott fajú és létszámú állat tartása </w:t>
      </w:r>
      <w:r w:rsidR="000933D8">
        <w:rPr>
          <w:rFonts w:eastAsia="Calibri"/>
          <w:color w:val="000000"/>
        </w:rPr>
        <w:t>esetén</w:t>
      </w:r>
    </w:p>
    <w:p w:rsidR="000933D8" w:rsidRDefault="005E27E0" w:rsidP="000933D8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állomány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nyilvántartást vezetni, továbbá e törvény végrehajtására kiadott jogszabály</w:t>
      </w:r>
      <w:r w:rsidR="000933D8">
        <w:rPr>
          <w:rFonts w:eastAsia="Calibri"/>
          <w:color w:val="000000"/>
        </w:rPr>
        <w:t>-</w:t>
      </w:r>
    </w:p>
    <w:p w:rsidR="000933D8" w:rsidRDefault="005E27E0" w:rsidP="000933D8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ban foglaltak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szerint az állatok állat-egészségügyi felügyeletét </w:t>
      </w:r>
      <w:r w:rsidR="004D6047" w:rsidRPr="00B34A3A">
        <w:rPr>
          <w:rFonts w:eastAsia="Calibri"/>
          <w:color w:val="000000"/>
        </w:rPr>
        <w:t>szolgáltató</w:t>
      </w:r>
      <w:r w:rsidR="001A2B68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állatorvossal </w:t>
      </w:r>
    </w:p>
    <w:p w:rsidR="005E27E0" w:rsidRPr="00B34A3A" w:rsidRDefault="005E27E0" w:rsidP="00B34A3A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kötött írásbeli</w:t>
      </w:r>
      <w:r w:rsidR="000933D8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szerződéssel biztosítani;</w:t>
      </w:r>
    </w:p>
    <w:p w:rsidR="005D7283" w:rsidRDefault="005E27E0" w:rsidP="00B34A3A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 xml:space="preserve">c) az állat állat-egészségügyi felügyeletét ellátó </w:t>
      </w:r>
      <w:r w:rsidR="004D6047" w:rsidRPr="00B34A3A">
        <w:rPr>
          <w:rFonts w:eastAsia="Calibri"/>
          <w:color w:val="000000"/>
        </w:rPr>
        <w:t xml:space="preserve">szolgáltató </w:t>
      </w:r>
      <w:r w:rsidRPr="00B34A3A">
        <w:rPr>
          <w:rFonts w:eastAsia="Calibri"/>
          <w:color w:val="000000"/>
        </w:rPr>
        <w:t>állatorvost a</w:t>
      </w:r>
      <w:r w:rsidR="005D7283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tartott állatok </w:t>
      </w:r>
    </w:p>
    <w:p w:rsidR="005D7283" w:rsidRDefault="005E27E0" w:rsidP="00B34A3A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fajáról,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létszámáról, az állatok tartási helyéről az állattartó tevékenység megkezdésétől </w:t>
      </w:r>
    </w:p>
    <w:p w:rsidR="005E27E0" w:rsidRPr="00B34A3A" w:rsidRDefault="005E27E0" w:rsidP="00B34A3A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számított öt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napon belül tájékoztatni;</w:t>
      </w:r>
    </w:p>
    <w:p w:rsidR="005D7283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d) az egyedi jelölésre kötelezett állatok esetében az egyedi jelölésről az e törvény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vég</w:t>
      </w:r>
      <w:r w:rsidR="005D7283">
        <w:rPr>
          <w:rFonts w:eastAsia="Calibri"/>
          <w:color w:val="000000"/>
        </w:rPr>
        <w:t>-</w:t>
      </w:r>
    </w:p>
    <w:p w:rsidR="005D7283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rehajtására kiadott jogszabályban, valamint az Európai Unió közvetlenül alkalmazandó</w:t>
      </w:r>
      <w:r w:rsidR="0034733F" w:rsidRPr="00B34A3A">
        <w:rPr>
          <w:rFonts w:eastAsia="Calibri"/>
          <w:color w:val="000000"/>
        </w:rPr>
        <w:t xml:space="preserve"> </w:t>
      </w:r>
    </w:p>
    <w:p w:rsidR="005E27E0" w:rsidRPr="00B34A3A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jogi aktusaiban meghatározott határidőn belül és módon gondoskodni;</w:t>
      </w:r>
    </w:p>
    <w:p w:rsidR="005E27E0" w:rsidRPr="00B34A3A" w:rsidRDefault="005E27E0" w:rsidP="005D7283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B34A3A">
        <w:rPr>
          <w:rFonts w:eastAsia="Calibri"/>
          <w:color w:val="000000"/>
        </w:rPr>
        <w:t xml:space="preserve">e) az e törvény végrehajtására kiadott jogszabályban </w:t>
      </w:r>
      <w:r w:rsidRPr="00B34A3A">
        <w:rPr>
          <w:rFonts w:eastAsia="Calibri"/>
          <w:b/>
          <w:bCs/>
          <w:color w:val="000000"/>
        </w:rPr>
        <w:t>meghatározott esetekben az ál</w:t>
      </w:r>
      <w:r w:rsidR="005D7283">
        <w:rPr>
          <w:rFonts w:eastAsia="Calibri"/>
          <w:b/>
          <w:bCs/>
          <w:color w:val="000000"/>
        </w:rPr>
        <w:t>-</w:t>
      </w:r>
      <w:r w:rsidR="005D7283">
        <w:rPr>
          <w:rFonts w:eastAsia="Calibri"/>
          <w:b/>
          <w:bCs/>
          <w:color w:val="000000"/>
        </w:rPr>
        <w:tab/>
      </w:r>
      <w:r w:rsidRPr="00B34A3A">
        <w:rPr>
          <w:rFonts w:eastAsia="Calibri"/>
          <w:b/>
          <w:bCs/>
          <w:color w:val="000000"/>
        </w:rPr>
        <w:t>latok</w:t>
      </w:r>
      <w:r w:rsidR="0034733F" w:rsidRPr="00B34A3A">
        <w:rPr>
          <w:rFonts w:eastAsia="Calibri"/>
          <w:b/>
          <w:bCs/>
          <w:color w:val="000000"/>
        </w:rPr>
        <w:t xml:space="preserve"> </w:t>
      </w:r>
      <w:r w:rsidRPr="00B34A3A">
        <w:rPr>
          <w:rFonts w:eastAsia="Calibri"/>
          <w:b/>
          <w:bCs/>
          <w:color w:val="000000"/>
        </w:rPr>
        <w:t>tartását, tartási helyét, jelölését és mozgatását bejelenteni az élelmiszerlánc-</w:t>
      </w:r>
      <w:r w:rsidR="005D7283">
        <w:rPr>
          <w:rFonts w:eastAsia="Calibri"/>
          <w:b/>
          <w:bCs/>
          <w:color w:val="000000"/>
        </w:rPr>
        <w:tab/>
      </w:r>
      <w:r w:rsidRPr="00B34A3A">
        <w:rPr>
          <w:rFonts w:eastAsia="Calibri"/>
          <w:b/>
          <w:bCs/>
          <w:color w:val="000000"/>
        </w:rPr>
        <w:t>felügyeleti</w:t>
      </w:r>
      <w:r w:rsidR="0034733F" w:rsidRPr="00B34A3A">
        <w:rPr>
          <w:rFonts w:eastAsia="Calibri"/>
          <w:b/>
          <w:bCs/>
          <w:color w:val="000000"/>
        </w:rPr>
        <w:t xml:space="preserve"> </w:t>
      </w:r>
      <w:r w:rsidRPr="00B34A3A">
        <w:rPr>
          <w:rFonts w:eastAsia="Calibri"/>
          <w:b/>
          <w:bCs/>
          <w:color w:val="000000"/>
        </w:rPr>
        <w:t>szervnek;</w:t>
      </w:r>
    </w:p>
    <w:p w:rsidR="005D7283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f) állata betegségéről vagy annak gyanújáról haladéktalanul értesíteni az</w:t>
      </w:r>
      <w:r w:rsidR="005D7283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élelmiszer</w:t>
      </w:r>
      <w:r w:rsidR="005D7283">
        <w:rPr>
          <w:rFonts w:eastAsia="Calibri"/>
          <w:color w:val="000000"/>
        </w:rPr>
        <w:t>-</w:t>
      </w:r>
    </w:p>
    <w:p w:rsidR="005D7283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lánc</w:t>
      </w:r>
      <w:r w:rsidR="001A2B68" w:rsidRPr="00B34A3A">
        <w:rPr>
          <w:rFonts w:eastAsia="Calibri"/>
          <w:color w:val="000000"/>
        </w:rPr>
        <w:t>-</w:t>
      </w:r>
      <w:r w:rsidRPr="00B34A3A">
        <w:rPr>
          <w:rFonts w:eastAsia="Calibri"/>
          <w:color w:val="000000"/>
        </w:rPr>
        <w:t>felügyeleti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szervet, illetve a </w:t>
      </w:r>
      <w:r w:rsidR="004D6047" w:rsidRPr="00B34A3A">
        <w:rPr>
          <w:rFonts w:eastAsia="Calibri"/>
          <w:color w:val="000000"/>
        </w:rPr>
        <w:t xml:space="preserve">szolgáltató </w:t>
      </w:r>
      <w:r w:rsidRPr="00B34A3A">
        <w:rPr>
          <w:rFonts w:eastAsia="Calibri"/>
          <w:color w:val="000000"/>
        </w:rPr>
        <w:t xml:space="preserve">állatorvost, a beteg, illetve betegségre </w:t>
      </w:r>
    </w:p>
    <w:p w:rsidR="005D7283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gyanús állatát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megvizsgáltatni, járványos állatbetegség esetén az élelmiszerlánc-fel</w:t>
      </w:r>
      <w:r w:rsidR="00B34E59">
        <w:rPr>
          <w:rFonts w:eastAsia="Calibri"/>
          <w:color w:val="000000"/>
        </w:rPr>
        <w:t>ü</w:t>
      </w:r>
      <w:r w:rsidR="005D7283">
        <w:rPr>
          <w:rFonts w:eastAsia="Calibri"/>
          <w:color w:val="000000"/>
        </w:rPr>
        <w:t>-</w:t>
      </w:r>
    </w:p>
    <w:p w:rsidR="00B34E59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gyeleti szervnek, illetve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a </w:t>
      </w:r>
      <w:r w:rsidR="004D6047" w:rsidRPr="00B34A3A">
        <w:rPr>
          <w:rFonts w:eastAsia="Calibri"/>
          <w:color w:val="000000"/>
        </w:rPr>
        <w:t xml:space="preserve">szolgáltató </w:t>
      </w:r>
      <w:r w:rsidRPr="00B34A3A">
        <w:rPr>
          <w:rFonts w:eastAsia="Calibri"/>
          <w:color w:val="000000"/>
        </w:rPr>
        <w:t xml:space="preserve">állatorvosnak az állat (állomány) kezelésére és a </w:t>
      </w:r>
    </w:p>
    <w:p w:rsidR="00B34E59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betegség továbbvitelének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megakadályozására adott utasításait végrehajtani, az elren</w:t>
      </w:r>
      <w:r w:rsidR="00B34E59">
        <w:rPr>
          <w:rFonts w:eastAsia="Calibri"/>
          <w:color w:val="000000"/>
        </w:rPr>
        <w:t>-</w:t>
      </w:r>
    </w:p>
    <w:p w:rsidR="005E27E0" w:rsidRPr="00B34A3A" w:rsidRDefault="005E27E0" w:rsidP="005D7283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delt járványügyi intézkedésben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foglalt kötelezettségeket teljesíteni;</w:t>
      </w:r>
    </w:p>
    <w:p w:rsidR="005E27E0" w:rsidRPr="00B34A3A" w:rsidRDefault="005E27E0" w:rsidP="00B34A3A">
      <w:pPr>
        <w:autoSpaceDE w:val="0"/>
        <w:autoSpaceDN w:val="0"/>
        <w:adjustRightInd w:val="0"/>
        <w:ind w:left="705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g) állatának az élelmiszerlánc-felügyeleti szerv által elrendelt vizsgálatát, kezelését,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védőoltását, elszállítását, levágatását, illetve leölését tűrni, ezen feladatokat ellátó állatorvos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részére segédszemélyzetről gondoskodni, és a kárenyhítési kötelezettsé</w:t>
      </w:r>
      <w:r w:rsidR="00B34E59">
        <w:rPr>
          <w:rFonts w:eastAsia="Calibri"/>
          <w:color w:val="000000"/>
        </w:rPr>
        <w:t>gé-</w:t>
      </w:r>
      <w:r w:rsidRPr="00B34A3A">
        <w:rPr>
          <w:rFonts w:eastAsia="Calibri"/>
          <w:color w:val="000000"/>
        </w:rPr>
        <w:t>nek megfelelően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közreműködni;</w:t>
      </w:r>
    </w:p>
    <w:p w:rsidR="005E27E0" w:rsidRPr="00B34A3A" w:rsidRDefault="005E27E0" w:rsidP="00B34A3A">
      <w:pPr>
        <w:autoSpaceDE w:val="0"/>
        <w:autoSpaceDN w:val="0"/>
        <w:adjustRightInd w:val="0"/>
        <w:ind w:left="705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h) az állat elhullását vagy kényszervágását az élelmiszerlánc-felügyeleti szervnek, illetve a</w:t>
      </w:r>
      <w:r w:rsidR="0034733F" w:rsidRPr="00B34A3A">
        <w:rPr>
          <w:rFonts w:eastAsia="Calibri"/>
          <w:color w:val="000000"/>
        </w:rPr>
        <w:t xml:space="preserve"> </w:t>
      </w:r>
      <w:r w:rsidR="004D6047" w:rsidRPr="00B34A3A">
        <w:rPr>
          <w:rFonts w:eastAsia="Calibri"/>
          <w:color w:val="000000"/>
        </w:rPr>
        <w:t xml:space="preserve">szolgáltató </w:t>
      </w:r>
      <w:r w:rsidRPr="00B34A3A">
        <w:rPr>
          <w:rFonts w:eastAsia="Calibri"/>
          <w:color w:val="000000"/>
        </w:rPr>
        <w:t>állatorvosnak – az e törvény végrehajtására kiadott jogszabályban foglaltak szerint –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bejelenteni, és az állati testet vizsgálatra bemutatni;</w:t>
      </w:r>
    </w:p>
    <w:p w:rsidR="005E27E0" w:rsidRPr="00B34A3A" w:rsidRDefault="005E27E0" w:rsidP="00B34A3A">
      <w:pPr>
        <w:autoSpaceDE w:val="0"/>
        <w:autoSpaceDN w:val="0"/>
        <w:adjustRightInd w:val="0"/>
        <w:ind w:left="705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i) az e törvény végrehajtására kiadott jogszabályban, valamint az Európai Unió közvetlenül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alkalmazandó jogi aktusaiban meghatározottak szerint a levágott állatát az élelmiszerlánc</w:t>
      </w:r>
      <w:r w:rsidR="001A2B68" w:rsidRPr="00B34A3A">
        <w:rPr>
          <w:rFonts w:eastAsia="Calibri"/>
          <w:color w:val="000000"/>
        </w:rPr>
        <w:t>-</w:t>
      </w:r>
      <w:r w:rsidRPr="00B34A3A">
        <w:rPr>
          <w:rFonts w:eastAsia="Calibri"/>
          <w:color w:val="000000"/>
        </w:rPr>
        <w:t>felügyeleti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szervvel, illetve a </w:t>
      </w:r>
      <w:r w:rsidR="004D6047" w:rsidRPr="00B34A3A">
        <w:rPr>
          <w:rFonts w:eastAsia="Calibri"/>
          <w:color w:val="000000"/>
        </w:rPr>
        <w:t xml:space="preserve">szolgáltató </w:t>
      </w:r>
      <w:r w:rsidRPr="00B34A3A">
        <w:rPr>
          <w:rFonts w:eastAsia="Calibri"/>
          <w:color w:val="000000"/>
        </w:rPr>
        <w:t>állatorvossal megvizsgáltatni;</w:t>
      </w:r>
    </w:p>
    <w:p w:rsidR="005E27E0" w:rsidRPr="00B34A3A" w:rsidRDefault="005E27E0" w:rsidP="00B34A3A">
      <w:pPr>
        <w:autoSpaceDE w:val="0"/>
        <w:autoSpaceDN w:val="0"/>
        <w:adjustRightInd w:val="0"/>
        <w:ind w:left="705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j) állatának az e törvény végrehajtására kiadott jogszabályban megha</w:t>
      </w:r>
      <w:r w:rsidR="0034733F" w:rsidRPr="00B34A3A">
        <w:rPr>
          <w:rFonts w:eastAsia="Calibri"/>
          <w:color w:val="000000"/>
        </w:rPr>
        <w:t>táro</w:t>
      </w:r>
      <w:r w:rsidRPr="00B34A3A">
        <w:rPr>
          <w:rFonts w:eastAsia="Calibri"/>
          <w:color w:val="000000"/>
        </w:rPr>
        <w:t>zott állategészségügyi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vizsgálata elvégzéséről – amennyiben jogszabály másként nem rendeli – saját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költségén gondoskodni.</w:t>
      </w:r>
    </w:p>
    <w:p w:rsidR="005E27E0" w:rsidRPr="00B34A3A" w:rsidRDefault="005E27E0" w:rsidP="00B34A3A">
      <w:pPr>
        <w:autoSpaceDE w:val="0"/>
        <w:autoSpaceDN w:val="0"/>
        <w:adjustRightInd w:val="0"/>
        <w:ind w:firstLine="705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(2) Az (1) bekezdés f) pontjában meghatározott kötelezettség vonatkozik</w:t>
      </w:r>
    </w:p>
    <w:p w:rsidR="005E27E0" w:rsidRPr="00B34A3A" w:rsidRDefault="00B34E59" w:rsidP="00B34A3A">
      <w:pPr>
        <w:autoSpaceDE w:val="0"/>
        <w:autoSpaceDN w:val="0"/>
        <w:adjustRightInd w:val="0"/>
        <w:ind w:left="705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5E27E0" w:rsidRPr="00B34A3A">
        <w:rPr>
          <w:rFonts w:eastAsia="Calibri"/>
          <w:color w:val="000000"/>
        </w:rPr>
        <w:t xml:space="preserve">a) az állattenyésztésre, szaporításra, vadászatra, halászatra jogosult személyre,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</w:t>
      </w:r>
      <w:r w:rsidR="005E27E0" w:rsidRPr="00B34A3A">
        <w:rPr>
          <w:rFonts w:eastAsia="Calibri"/>
          <w:color w:val="000000"/>
        </w:rPr>
        <w:t>illetve</w:t>
      </w:r>
      <w:r w:rsidR="0034733F" w:rsidRPr="00B34A3A">
        <w:rPr>
          <w:rFonts w:eastAsia="Calibri"/>
          <w:color w:val="000000"/>
        </w:rPr>
        <w:t xml:space="preserve"> </w:t>
      </w:r>
      <w:r w:rsidR="005E27E0" w:rsidRPr="00B34A3A">
        <w:rPr>
          <w:rFonts w:eastAsia="Calibri"/>
          <w:color w:val="000000"/>
        </w:rPr>
        <w:t>szervezet vezetőjére; továbbá arra, aki</w:t>
      </w:r>
    </w:p>
    <w:p w:rsidR="005E27E0" w:rsidRPr="00B34A3A" w:rsidRDefault="005E27E0" w:rsidP="00B34A3A">
      <w:pPr>
        <w:autoSpaceDE w:val="0"/>
        <w:autoSpaceDN w:val="0"/>
        <w:adjustRightInd w:val="0"/>
        <w:ind w:left="708"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b) a tulajdonos képviseletében az állattartó telepet (üzemet) vezeti;</w:t>
      </w:r>
    </w:p>
    <w:p w:rsidR="005E27E0" w:rsidRPr="00B34A3A" w:rsidRDefault="005E27E0" w:rsidP="00B34A3A">
      <w:pPr>
        <w:autoSpaceDE w:val="0"/>
        <w:autoSpaceDN w:val="0"/>
        <w:adjustRightInd w:val="0"/>
        <w:ind w:left="708"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c) az állatot felügyeli;</w:t>
      </w:r>
    </w:p>
    <w:p w:rsidR="005E27E0" w:rsidRPr="00B34A3A" w:rsidRDefault="005E27E0" w:rsidP="00B34A3A">
      <w:pPr>
        <w:autoSpaceDE w:val="0"/>
        <w:autoSpaceDN w:val="0"/>
        <w:adjustRightInd w:val="0"/>
        <w:ind w:left="708"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d) az állatot gondozza, ápolja, takarmányozza, őrzi;</w:t>
      </w:r>
    </w:p>
    <w:p w:rsidR="00EE5E63" w:rsidRPr="00B34A3A" w:rsidRDefault="005E27E0" w:rsidP="00B34A3A">
      <w:pPr>
        <w:autoSpaceDE w:val="0"/>
        <w:autoSpaceDN w:val="0"/>
        <w:adjustRightInd w:val="0"/>
        <w:ind w:left="708"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e) szállításkor az állatot kíséri.</w:t>
      </w:r>
    </w:p>
    <w:p w:rsidR="00EE5E63" w:rsidRPr="00B34A3A" w:rsidRDefault="00EE5E63" w:rsidP="00B34A3A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</w:p>
    <w:p w:rsidR="002800D4" w:rsidRDefault="005E27E0" w:rsidP="002800D4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(3) Az állat levágása, valamint az állat, az állati eredetű termék vagy az állati eredetű</w:t>
      </w:r>
      <w:r w:rsidR="0034733F" w:rsidRPr="00B34A3A">
        <w:rPr>
          <w:rFonts w:eastAsia="Calibri"/>
          <w:color w:val="000000"/>
        </w:rPr>
        <w:t xml:space="preserve"> </w:t>
      </w:r>
    </w:p>
    <w:p w:rsidR="002800D4" w:rsidRDefault="005E27E0" w:rsidP="002800D4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melléktermék szállítása alkalmával az állattartó köteles a közreműködő állatorvost a</w:t>
      </w:r>
      <w:r w:rsidR="0034733F" w:rsidRPr="00B34A3A">
        <w:rPr>
          <w:rFonts w:eastAsia="Calibri"/>
          <w:color w:val="000000"/>
        </w:rPr>
        <w:t xml:space="preserve"> </w:t>
      </w:r>
    </w:p>
    <w:p w:rsidR="002800D4" w:rsidRDefault="005E27E0" w:rsidP="002800D4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 xml:space="preserve">forgalomba hozatalt befolyásoló körülményekről, így különösen az állat egészségi </w:t>
      </w:r>
    </w:p>
    <w:p w:rsidR="002800D4" w:rsidRDefault="005E27E0" w:rsidP="002800D4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állapotáról,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 xml:space="preserve">gyógykezeléséről, takarmányozásáról megfelelően tájékoztatni, valamint </w:t>
      </w:r>
    </w:p>
    <w:p w:rsidR="002800D4" w:rsidRDefault="005E27E0" w:rsidP="002800D4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lastRenderedPageBreak/>
        <w:t>az e törvény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végrehajtá</w:t>
      </w:r>
      <w:r w:rsidR="0034733F" w:rsidRPr="00B34A3A">
        <w:rPr>
          <w:rFonts w:eastAsia="Calibri"/>
          <w:color w:val="000000"/>
        </w:rPr>
        <w:t>sá</w:t>
      </w:r>
      <w:r w:rsidRPr="00B34A3A">
        <w:rPr>
          <w:rFonts w:eastAsia="Calibri"/>
          <w:color w:val="000000"/>
        </w:rPr>
        <w:t xml:space="preserve">ra kiadott jogszabályok, valamint az Európai Unió </w:t>
      </w:r>
      <w:r w:rsidR="002800D4">
        <w:rPr>
          <w:rFonts w:eastAsia="Calibri"/>
          <w:color w:val="000000"/>
        </w:rPr>
        <w:t>közvetle-</w:t>
      </w:r>
    </w:p>
    <w:p w:rsidR="005E27E0" w:rsidRPr="00B34A3A" w:rsidRDefault="005E27E0" w:rsidP="002800D4">
      <w:pPr>
        <w:autoSpaceDE w:val="0"/>
        <w:autoSpaceDN w:val="0"/>
        <w:adjustRightInd w:val="0"/>
        <w:ind w:firstLine="708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nül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alkalmazandó jogi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aktusaiban előírt nyilvántartásokat bemutatni.</w:t>
      </w:r>
    </w:p>
    <w:p w:rsidR="005E27E0" w:rsidRPr="00B34A3A" w:rsidRDefault="005E27E0" w:rsidP="00B34A3A">
      <w:pPr>
        <w:autoSpaceDE w:val="0"/>
        <w:autoSpaceDN w:val="0"/>
        <w:adjustRightInd w:val="0"/>
        <w:ind w:left="705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(4) Az (1) bekezdés f) és h) pontjában előírt tájékoztatási, illetve bejelentési kötelezettség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vonatkozik minden olyan – nem állatorvos – személyre, aki állatok gyógykezelésével,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vizsgálatával, mesterséges termékenyítéssel, embrió-átültetéssel, állatszállítással,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állatkereskedelemmel, húsvizsgá</w:t>
      </w:r>
      <w:r w:rsidR="0034733F" w:rsidRPr="00B34A3A">
        <w:rPr>
          <w:rFonts w:eastAsia="Calibri"/>
          <w:color w:val="000000"/>
        </w:rPr>
        <w:t>lat</w:t>
      </w:r>
      <w:r w:rsidRPr="00B34A3A">
        <w:rPr>
          <w:rFonts w:eastAsia="Calibri"/>
          <w:color w:val="000000"/>
        </w:rPr>
        <w:t>tal, a levágott, leölt vagy elhullott állatok, illetve a belőlük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vagy tőlük származó termék értékesítésével, szállításával, feldolgozásával, ártalmatlanná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tételével foglalkozik, vagy ezekben közreműködik.</w:t>
      </w:r>
    </w:p>
    <w:p w:rsidR="005E27E0" w:rsidRPr="00B34A3A" w:rsidRDefault="005E27E0" w:rsidP="00B34A3A">
      <w:pPr>
        <w:autoSpaceDE w:val="0"/>
        <w:autoSpaceDN w:val="0"/>
        <w:adjustRightInd w:val="0"/>
        <w:ind w:left="705"/>
        <w:rPr>
          <w:rFonts w:eastAsia="Calibri"/>
          <w:color w:val="000000"/>
        </w:rPr>
      </w:pPr>
      <w:r w:rsidRPr="00B34A3A">
        <w:rPr>
          <w:rFonts w:eastAsia="Calibri"/>
          <w:color w:val="000000"/>
        </w:rPr>
        <w:t>(5) Az állattartó az e törvény végrehajtására kiadott jogszabályban, valamint az Európai Unió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közvetlenül alkalmazandó jogi aktusaiban meghatározott fajú és létszámú állat tartása esetén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köteles bejelenteni az állattartó hely meghatározott adatait az élelmiszerlánc-felügyeleti</w:t>
      </w:r>
      <w:r w:rsidR="0034733F" w:rsidRPr="00B34A3A">
        <w:rPr>
          <w:rFonts w:eastAsia="Calibri"/>
          <w:color w:val="000000"/>
        </w:rPr>
        <w:t xml:space="preserve"> </w:t>
      </w:r>
      <w:r w:rsidRPr="00B34A3A">
        <w:rPr>
          <w:rFonts w:eastAsia="Calibri"/>
          <w:color w:val="000000"/>
        </w:rPr>
        <w:t>szervnek engedélyezés, illetve nyilvántartásba vétel céljából.</w:t>
      </w:r>
    </w:p>
    <w:p w:rsidR="00D75CC0" w:rsidRPr="00B34A3A" w:rsidRDefault="00D75CC0" w:rsidP="00B34A3A"/>
    <w:p w:rsidR="00D75CC0" w:rsidRPr="00B34A3A" w:rsidRDefault="006B7FCC" w:rsidP="00B34A3A">
      <w:pPr>
        <w:pStyle w:val="Listaszerbekezds"/>
        <w:numPr>
          <w:ilvl w:val="1"/>
          <w:numId w:val="10"/>
        </w:numPr>
      </w:pPr>
      <w:r w:rsidRPr="00B34A3A">
        <w:t xml:space="preserve"> </w:t>
      </w:r>
      <w:r w:rsidR="00D75CC0" w:rsidRPr="00B34A3A">
        <w:t xml:space="preserve">A Nemzeti Mentesítési Terv alapját a </w:t>
      </w:r>
      <w:r w:rsidR="00D75CC0" w:rsidRPr="00061CB3">
        <w:rPr>
          <w:b/>
        </w:rPr>
        <w:t>3/2014. (II.16.) VM rendelet: A sertés</w:t>
      </w:r>
      <w:r w:rsidR="003B053D" w:rsidRPr="00061CB3">
        <w:rPr>
          <w:b/>
        </w:rPr>
        <w:t>-</w:t>
      </w:r>
      <w:r w:rsidR="00D75CC0" w:rsidRPr="00061CB3">
        <w:rPr>
          <w:b/>
        </w:rPr>
        <w:t xml:space="preserve">állományoknak a sertés reprodukciós zavarokkal és légzőszervi tünetekkel járó szindrómájától való mentesítéséről </w:t>
      </w:r>
      <w:r w:rsidR="00D75CC0" w:rsidRPr="00B34A3A">
        <w:t xml:space="preserve">szóló jogszabály képezi. </w:t>
      </w:r>
    </w:p>
    <w:p w:rsidR="00061CB3" w:rsidRDefault="00061CB3" w:rsidP="00B34A3A">
      <w:pPr>
        <w:ind w:left="705"/>
      </w:pPr>
      <w:r>
        <w:tab/>
        <w:t xml:space="preserve"> </w:t>
      </w:r>
      <w:r w:rsidR="00D75CC0" w:rsidRPr="00B34A3A">
        <w:t>Ez a rendelet megjárta az EU és a hazai döntéshozás, véleménynyilvánítás vala</w:t>
      </w:r>
      <w:r>
        <w:t xml:space="preserve">meny-  </w:t>
      </w:r>
    </w:p>
    <w:p w:rsidR="00D75CC0" w:rsidRPr="00B34A3A" w:rsidRDefault="00061CB3" w:rsidP="00B34A3A">
      <w:pPr>
        <w:ind w:left="705"/>
      </w:pPr>
      <w:r>
        <w:t xml:space="preserve"> </w:t>
      </w:r>
      <w:r w:rsidR="00D75CC0" w:rsidRPr="00B34A3A">
        <w:t>nyi fórumát, az azon elhangzottak releváns része beépült a rendelet végső szövegébe.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 xml:space="preserve">E rendelet szabályozza a PRRS elleni mentesítés lépéseit, meghatározza a teendő </w:t>
      </w:r>
      <w:r>
        <w:t>in-</w:t>
      </w:r>
    </w:p>
    <w:p w:rsidR="00061CB3" w:rsidRDefault="00061CB3" w:rsidP="00B34A3A">
      <w:pPr>
        <w:ind w:left="705"/>
      </w:pPr>
      <w:r>
        <w:t xml:space="preserve"> t</w:t>
      </w:r>
      <w:r w:rsidR="00D75CC0" w:rsidRPr="00B34A3A">
        <w:t xml:space="preserve">ézkedések felelős végrehajtóit. Abból a célból, hogy a megvalósulás során esetleg 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 xml:space="preserve">felmerülő szakmai, állategészségügyi igazgatási, vagy egyéb területről érkező </w:t>
      </w:r>
      <w:r>
        <w:t>problé-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>mák, javaslatok a megvalósítást segítsék és egységes elveken alapuljanak</w:t>
      </w:r>
      <w:r w:rsidR="001A2B68" w:rsidRPr="00B34A3A">
        <w:t>,</w:t>
      </w:r>
      <w:r w:rsidR="00D75CC0" w:rsidRPr="00B34A3A">
        <w:t xml:space="preserve"> a </w:t>
      </w:r>
      <w:r>
        <w:t>Vidékfej-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 xml:space="preserve">lesztési Minisztérium Élelmiszerlánc-felügyeleti és Agrárigazgatási Államtitkárság 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 xml:space="preserve">államtitkára, Dr. Kardeván Endre PRRS Nemzeti Mentesítési Bizottságot hozott létre, </w:t>
      </w:r>
      <w:r>
        <w:t xml:space="preserve"> 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>nevezett ki.  Ezen Bizottság feladata a PRRS betegségtől való mentesítéssel</w:t>
      </w:r>
      <w:r>
        <w:t xml:space="preserve"> kapcsola-</w:t>
      </w:r>
      <w:r w:rsidR="00D75CC0" w:rsidRPr="00B34A3A">
        <w:t xml:space="preserve"> 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 xml:space="preserve">tos szakmai intézkedések és álláspontok kialakítása, véleményezése, az </w:t>
      </w:r>
      <w:r>
        <w:t>intézkedésre</w:t>
      </w:r>
    </w:p>
    <w:p w:rsidR="00061CB3" w:rsidRDefault="00061CB3" w:rsidP="00B34A3A">
      <w:pPr>
        <w:ind w:left="705"/>
      </w:pPr>
      <w:r>
        <w:t xml:space="preserve"> </w:t>
      </w:r>
      <w:r w:rsidR="00D75CC0" w:rsidRPr="00B34A3A">
        <w:t xml:space="preserve">jogosult nemzeti hatóságok (NÉBIH, </w:t>
      </w:r>
      <w:r w:rsidR="001925D5" w:rsidRPr="00B34A3A">
        <w:t xml:space="preserve">ÉBÁI, </w:t>
      </w:r>
      <w:r w:rsidR="00D75CC0" w:rsidRPr="00B34A3A">
        <w:t>járási állategészségügyi hivatal) döntés-</w:t>
      </w:r>
    </w:p>
    <w:p w:rsidR="00D75CC0" w:rsidRPr="00B34A3A" w:rsidRDefault="00061CB3" w:rsidP="00B34A3A">
      <w:pPr>
        <w:ind w:left="705"/>
      </w:pPr>
      <w:r>
        <w:t xml:space="preserve"> </w:t>
      </w:r>
      <w:r w:rsidR="00D75CC0" w:rsidRPr="00B34A3A">
        <w:t xml:space="preserve">előkészítése során támogatás, véleményezés nyújtása. </w:t>
      </w:r>
    </w:p>
    <w:p w:rsidR="001925D5" w:rsidRPr="00B34A3A" w:rsidRDefault="001925D5" w:rsidP="00B34A3A">
      <w:pPr>
        <w:ind w:left="705"/>
      </w:pPr>
    </w:p>
    <w:p w:rsidR="00A61C5F" w:rsidRDefault="00A61C5F" w:rsidP="00A61C5F">
      <w:pPr>
        <w:pStyle w:val="Listaszerbekezds"/>
        <w:numPr>
          <w:ilvl w:val="0"/>
          <w:numId w:val="10"/>
        </w:numPr>
        <w:spacing w:after="200"/>
        <w:rPr>
          <w:b/>
          <w:iCs/>
        </w:rPr>
      </w:pPr>
      <w:r w:rsidRPr="00A61C5F">
        <w:rPr>
          <w:b/>
          <w:iCs/>
        </w:rPr>
        <w:t xml:space="preserve">Elvégzendő vizsgálatok </w:t>
      </w:r>
    </w:p>
    <w:p w:rsidR="00E4107E" w:rsidRPr="00B34A3A" w:rsidRDefault="00E4107E" w:rsidP="00E4107E">
      <w:r w:rsidRPr="00B34A3A">
        <w:t xml:space="preserve">A minősítéshez, illetve a mentesítéshez szükséges vizsgálatok </w:t>
      </w:r>
      <w:r w:rsidRPr="00B34A3A">
        <w:rPr>
          <w:b/>
          <w:i/>
          <w:u w:val="single"/>
        </w:rPr>
        <w:t>költségei az állattartót</w:t>
      </w:r>
      <w:r w:rsidRPr="00B34A3A">
        <w:t xml:space="preserve"> terhelik, melyhez a különféle állami támogatások azonban igénybe vehetők (pl. 148/2007. (XII.8.) FVM rendelet) vagy az agrárigazgatásért felelős miniszter a költségek teljes egészére, vagy egy részére forrást biztosíthat. </w:t>
      </w:r>
    </w:p>
    <w:p w:rsidR="00E4107E" w:rsidRPr="00A61C5F" w:rsidRDefault="00E4107E" w:rsidP="00E4107E">
      <w:pPr>
        <w:pStyle w:val="Listaszerbekezds"/>
        <w:spacing w:after="200"/>
        <w:ind w:left="0"/>
        <w:rPr>
          <w:b/>
          <w:iCs/>
        </w:rPr>
      </w:pPr>
      <w:r w:rsidRPr="00B34A3A">
        <w:t xml:space="preserve">Pozitív szerológiai eredmény esetén először az esetleges téves pozitív eredményt ki kell zárni egy más típusú diagnosztikai módszer alkalmazásával. A megerősítő vizsgálathoz a mintavételt minden esetben a NRL-al történt előzetes egyeztetés alapján kell elvégezni. </w:t>
      </w:r>
      <w:r w:rsidRPr="00B34A3A">
        <w:rPr>
          <w:b/>
        </w:rPr>
        <w:t>A fertőzöttség kizárását célzó vizsgálatok állami költségre történnek</w:t>
      </w:r>
      <w:r w:rsidRPr="00B34A3A">
        <w:t>.</w:t>
      </w:r>
    </w:p>
    <w:p w:rsidR="00CC10DE" w:rsidRPr="002D5CCB" w:rsidRDefault="00CC10DE" w:rsidP="00CC10DE">
      <w:pPr>
        <w:pStyle w:val="Listaszerbekezds"/>
        <w:numPr>
          <w:ilvl w:val="1"/>
          <w:numId w:val="10"/>
        </w:numPr>
        <w:spacing w:after="200"/>
        <w:rPr>
          <w:i/>
          <w:iCs/>
        </w:rPr>
      </w:pPr>
      <w:r w:rsidRPr="002D5CCB">
        <w:rPr>
          <w:i/>
          <w:iCs/>
        </w:rPr>
        <w:t>Mentes terület</w:t>
      </w:r>
    </w:p>
    <w:p w:rsidR="00CC10DE" w:rsidRDefault="00CC10DE" w:rsidP="00CC10DE">
      <w:pPr>
        <w:pStyle w:val="Listaszerbekezds"/>
        <w:numPr>
          <w:ilvl w:val="2"/>
          <w:numId w:val="10"/>
        </w:numPr>
        <w:spacing w:after="200"/>
        <w:rPr>
          <w:iCs/>
        </w:rPr>
      </w:pPr>
      <w:r>
        <w:rPr>
          <w:iCs/>
        </w:rPr>
        <w:t>Az állományok mentességét évente szerológiai vizsgálattal kell ellenőrizni a 4.1.2.-4.1.</w:t>
      </w:r>
      <w:r w:rsidR="002D5CCB">
        <w:rPr>
          <w:iCs/>
        </w:rPr>
        <w:t>7</w:t>
      </w:r>
      <w:r>
        <w:rPr>
          <w:iCs/>
        </w:rPr>
        <w:t>. pontokban foglaltak szerint.</w:t>
      </w:r>
    </w:p>
    <w:p w:rsidR="00CC10DE" w:rsidRDefault="00CC10DE" w:rsidP="00CC10DE">
      <w:pPr>
        <w:pStyle w:val="Listaszerbekezds"/>
        <w:numPr>
          <w:ilvl w:val="2"/>
          <w:numId w:val="10"/>
        </w:numPr>
        <w:spacing w:after="200"/>
        <w:rPr>
          <w:iCs/>
        </w:rPr>
      </w:pPr>
      <w:r>
        <w:rPr>
          <w:iCs/>
        </w:rPr>
        <w:t>Valamennyi tenyészkant – beleértve a köztenyésztésben fedező apaállatokat is – félévente kell megvizsgálni.</w:t>
      </w:r>
    </w:p>
    <w:p w:rsidR="002D5CCB" w:rsidRDefault="00CC10DE" w:rsidP="00CC10DE">
      <w:pPr>
        <w:pStyle w:val="Listaszerbekezds"/>
        <w:numPr>
          <w:ilvl w:val="2"/>
          <w:numId w:val="10"/>
        </w:numPr>
        <w:spacing w:after="200"/>
        <w:rPr>
          <w:iCs/>
        </w:rPr>
      </w:pPr>
      <w:r>
        <w:rPr>
          <w:iCs/>
        </w:rPr>
        <w:t xml:space="preserve">A mesterséges termékenyítő állomások teljes sertésállományát félévente kell megvizsgálni. </w:t>
      </w:r>
    </w:p>
    <w:p w:rsidR="00CC10DE" w:rsidRDefault="00CC10DE" w:rsidP="00CC10DE">
      <w:pPr>
        <w:pStyle w:val="Listaszerbekezds"/>
        <w:numPr>
          <w:ilvl w:val="2"/>
          <w:numId w:val="10"/>
        </w:numPr>
        <w:spacing w:after="200"/>
        <w:rPr>
          <w:iCs/>
        </w:rPr>
      </w:pPr>
      <w:r>
        <w:rPr>
          <w:iCs/>
        </w:rPr>
        <w:lastRenderedPageBreak/>
        <w:t>Nagylétszámú tenyészállományban az először fialt tenyészkocák fialás utáni szerológiai vizsgálatát évente kell elvégezni.</w:t>
      </w:r>
    </w:p>
    <w:p w:rsidR="00CC10DE" w:rsidRDefault="00CC10DE" w:rsidP="00CC10DE">
      <w:pPr>
        <w:pStyle w:val="Listaszerbekezds"/>
        <w:numPr>
          <w:ilvl w:val="2"/>
          <w:numId w:val="10"/>
        </w:numPr>
        <w:spacing w:after="200"/>
        <w:rPr>
          <w:iCs/>
        </w:rPr>
      </w:pPr>
      <w:r>
        <w:rPr>
          <w:iCs/>
        </w:rPr>
        <w:t>Nagylétszámú hízóállományok esetében légterenként 95%-os megbízhatóság és 10%-os előfordulási arány figyelembe vételével meghatározott számú egyedet kell évente megvizsgálni.</w:t>
      </w:r>
    </w:p>
    <w:p w:rsidR="00CC10DE" w:rsidRDefault="00CC10DE" w:rsidP="00CC10DE">
      <w:pPr>
        <w:pStyle w:val="Listaszerbekezds"/>
        <w:numPr>
          <w:ilvl w:val="2"/>
          <w:numId w:val="10"/>
        </w:numPr>
        <w:spacing w:after="200"/>
        <w:rPr>
          <w:iCs/>
        </w:rPr>
      </w:pPr>
      <w:r>
        <w:rPr>
          <w:iCs/>
        </w:rPr>
        <w:t>Mentes településen évente a kislétszámú állományokban tartott valamennyi tenyészkan és a kocák 95%-os megbízhatóság és 2%-os előfordulási arány figyelembe vételével meghatározott számú egyedét egyidejűleg úgy kell megvizsgálni, hogy a településen legalább 95%-os megbízhatóság és 10%-os előfordulási arány figyelembe vételével meghatározott számú állományban történjen mintavétel.</w:t>
      </w:r>
    </w:p>
    <w:p w:rsidR="00CC10DE" w:rsidRDefault="002D5CCB" w:rsidP="00CC10DE">
      <w:pPr>
        <w:pStyle w:val="Listaszerbekezds"/>
        <w:numPr>
          <w:ilvl w:val="2"/>
          <w:numId w:val="10"/>
        </w:numPr>
        <w:spacing w:after="200"/>
        <w:rPr>
          <w:iCs/>
        </w:rPr>
      </w:pPr>
      <w:r>
        <w:rPr>
          <w:iCs/>
        </w:rPr>
        <w:t>Mentes megyében évente a településeken található, kislétszámú állományokban tartott sertések 95%-os megbízhatóság és 10%-os előfordulási arány figyelembe vételével meghatározott számú egyedét kell vizsgálni.</w:t>
      </w:r>
    </w:p>
    <w:p w:rsidR="002D5CCB" w:rsidRPr="005F6916" w:rsidRDefault="002D5CCB" w:rsidP="002D5CCB">
      <w:pPr>
        <w:pStyle w:val="Listaszerbekezds"/>
        <w:numPr>
          <w:ilvl w:val="1"/>
          <w:numId w:val="10"/>
        </w:numPr>
        <w:spacing w:after="200"/>
        <w:rPr>
          <w:iCs/>
        </w:rPr>
      </w:pPr>
      <w:r>
        <w:rPr>
          <w:i/>
          <w:iCs/>
        </w:rPr>
        <w:t>Mentesítés alá vont</w:t>
      </w:r>
      <w:r w:rsidR="005F6916">
        <w:rPr>
          <w:i/>
          <w:iCs/>
        </w:rPr>
        <w:t xml:space="preserve"> és mentesítés alá nem vont terület</w:t>
      </w:r>
    </w:p>
    <w:p w:rsidR="005F6916" w:rsidRPr="002D5CCB" w:rsidRDefault="005F6916" w:rsidP="005F6916">
      <w:pPr>
        <w:pStyle w:val="Listaszerbekezds"/>
        <w:spacing w:after="200"/>
        <w:ind w:left="360"/>
        <w:rPr>
          <w:iCs/>
        </w:rPr>
      </w:pPr>
      <w:r w:rsidRPr="00B34A3A">
        <w:rPr>
          <w:b/>
          <w:bCs/>
        </w:rPr>
        <w:t xml:space="preserve">KIEMELT FELADAT: 2014. </w:t>
      </w:r>
      <w:r>
        <w:rPr>
          <w:b/>
          <w:bCs/>
        </w:rPr>
        <w:t>december 31</w:t>
      </w:r>
      <w:r w:rsidRPr="00B34A3A">
        <w:rPr>
          <w:b/>
          <w:bCs/>
        </w:rPr>
        <w:t>-ig valamennyi</w:t>
      </w:r>
      <w:r w:rsidR="00000CAE">
        <w:rPr>
          <w:b/>
          <w:bCs/>
        </w:rPr>
        <w:t xml:space="preserve"> nagylétszámú</w:t>
      </w:r>
      <w:r w:rsidRPr="00B34A3A">
        <w:rPr>
          <w:b/>
          <w:bCs/>
        </w:rPr>
        <w:t xml:space="preserve"> telep minősítése:</w:t>
      </w:r>
    </w:p>
    <w:p w:rsidR="00180519" w:rsidRPr="00180519" w:rsidRDefault="002D5CCB" w:rsidP="002D5CCB">
      <w:pPr>
        <w:pStyle w:val="Listaszerbekezds"/>
        <w:numPr>
          <w:ilvl w:val="2"/>
          <w:numId w:val="10"/>
        </w:numPr>
        <w:spacing w:after="200"/>
        <w:rPr>
          <w:iCs/>
        </w:rPr>
      </w:pPr>
      <w:r w:rsidRPr="002D5CCB">
        <w:t xml:space="preserve">Nagylétszámú tenyészállományok:  </w:t>
      </w:r>
    </w:p>
    <w:p w:rsidR="002D5CCB" w:rsidRDefault="002C3C29" w:rsidP="00180519">
      <w:pPr>
        <w:pStyle w:val="Listaszerbekezds"/>
        <w:spacing w:after="200"/>
        <w:ind w:left="1224"/>
        <w:rPr>
          <w:iCs/>
        </w:rPr>
      </w:pPr>
      <w:r w:rsidRPr="002C3C29">
        <w:rPr>
          <w:i/>
        </w:rPr>
        <w:t>4.2.1.1.</w:t>
      </w:r>
      <w:r w:rsidR="00180519">
        <w:tab/>
      </w:r>
      <w:r w:rsidR="002D5CCB" w:rsidRPr="002D5CCB">
        <w:t xml:space="preserve">Minden nagylétszámú tenyészállomány esetében a minősítő vizsgálatokat valamennyi tenyészkanon és tenyészkocán, valamint a hízósertések 95%-os megbízhatóság és 5%-os előfordulási arány figyelembe vételével meghatározott számú egyedén egyidőben, minimum hat hónapos időközzel, kétszeri szerológiai vizsgálattal kell elvégezni. </w:t>
      </w:r>
      <w:r w:rsidR="002D5CCB" w:rsidRPr="002D5CCB">
        <w:rPr>
          <w:iCs/>
        </w:rPr>
        <w:t>Kivételt képeznek azon állattartók állományai, amelyek esetében a korábbi laboratóriumi vizsgálatok alapján a fertőzöttségét hatóságilag megállapították, illetve azok a telepek ahol a PRRS betegség ellen vakcináztak, és nyilatkozatban ismerik el</w:t>
      </w:r>
      <w:r w:rsidR="00180519">
        <w:rPr>
          <w:iCs/>
        </w:rPr>
        <w:t xml:space="preserve"> és </w:t>
      </w:r>
      <w:r w:rsidRPr="002C3C29">
        <w:rPr>
          <w:iCs/>
        </w:rPr>
        <w:t>fogadják el</w:t>
      </w:r>
      <w:r w:rsidR="002D5CCB" w:rsidRPr="002D5CCB">
        <w:rPr>
          <w:iCs/>
        </w:rPr>
        <w:t>, maguk részére kötelező jelleggel, a fertőzött telepekre vonatkozó igazgatási rendelkezéseket.</w:t>
      </w:r>
    </w:p>
    <w:p w:rsidR="002D5CCB" w:rsidRPr="002D5CCB" w:rsidRDefault="002C3C29" w:rsidP="00180519">
      <w:pPr>
        <w:ind w:left="1224"/>
        <w:contextualSpacing/>
        <w:outlineLvl w:val="0"/>
        <w:rPr>
          <w:bCs/>
        </w:rPr>
      </w:pPr>
      <w:r w:rsidRPr="002C3C29">
        <w:rPr>
          <w:bCs/>
          <w:i/>
        </w:rPr>
        <w:t>4.2.1.2.</w:t>
      </w:r>
      <w:r w:rsidR="00180519">
        <w:rPr>
          <w:bCs/>
        </w:rPr>
        <w:t xml:space="preserve"> </w:t>
      </w:r>
      <w:r w:rsidR="002D5CCB" w:rsidRPr="002D5CCB">
        <w:rPr>
          <w:bCs/>
        </w:rPr>
        <w:t xml:space="preserve">A magát mentesnek vélő telep </w:t>
      </w:r>
      <w:r w:rsidR="002D5CCB" w:rsidRPr="00B34A3A">
        <w:t>az elmúlt 3 év negatív (kedvező) vizsgálati eredménye alapján</w:t>
      </w:r>
      <w:r w:rsidR="002D5CCB">
        <w:t xml:space="preserve"> </w:t>
      </w:r>
      <w:r w:rsidR="002D5CCB" w:rsidRPr="00B34A3A">
        <w:t xml:space="preserve">valamennyi kanból és a kocák </w:t>
      </w:r>
      <w:r w:rsidR="002D5CCB" w:rsidRPr="002D5CCB">
        <w:rPr>
          <w:rFonts w:eastAsia="Calibri"/>
        </w:rPr>
        <w:t>95%-os biztonsággal</w:t>
      </w:r>
      <w:r w:rsidR="002D5CCB" w:rsidRPr="00B34A3A">
        <w:t xml:space="preserve"> és 5 % prevalencia számítással (kb. a kocák 5 %-a), továbbá a hízók </w:t>
      </w:r>
      <w:r w:rsidR="002D5CCB" w:rsidRPr="002D5CCB">
        <w:rPr>
          <w:rFonts w:eastAsia="Calibri"/>
        </w:rPr>
        <w:t>95%-os biztonsággal</w:t>
      </w:r>
      <w:r w:rsidR="002D5CCB" w:rsidRPr="00B34A3A">
        <w:t xml:space="preserve"> és 10 % prevalencia számítással (maximum </w:t>
      </w:r>
      <w:r w:rsidR="002D5CCB">
        <w:t>3</w:t>
      </w:r>
      <w:r w:rsidR="002D5CCB" w:rsidRPr="00B34A3A">
        <w:t xml:space="preserve">0 hízó) történő kedvező eredményű vérvizsgálata alapján </w:t>
      </w:r>
      <w:r w:rsidR="002D5CCB" w:rsidRPr="002D5CCB">
        <w:rPr>
          <w:b/>
          <w:u w:val="single"/>
        </w:rPr>
        <w:t>mentessé nyilvánítható</w:t>
      </w:r>
      <w:r w:rsidR="002D5CCB" w:rsidRPr="002D5CCB">
        <w:rPr>
          <w:b/>
          <w:bCs/>
        </w:rPr>
        <w:t>. („történelmi mentesség”).</w:t>
      </w:r>
    </w:p>
    <w:p w:rsidR="002D5CCB" w:rsidRPr="00B34A3A" w:rsidRDefault="002D5CCB" w:rsidP="002D5CCB">
      <w:pPr>
        <w:outlineLvl w:val="0"/>
        <w:rPr>
          <w:bCs/>
          <w:i/>
          <w:u w:val="single"/>
        </w:rPr>
      </w:pPr>
    </w:p>
    <w:p w:rsidR="00180519" w:rsidRPr="00180519" w:rsidRDefault="005F6916" w:rsidP="005F6916">
      <w:pPr>
        <w:numPr>
          <w:ilvl w:val="2"/>
          <w:numId w:val="10"/>
        </w:numPr>
        <w:outlineLvl w:val="0"/>
        <w:rPr>
          <w:bCs/>
          <w:i/>
          <w:u w:val="single"/>
        </w:rPr>
      </w:pPr>
      <w:r>
        <w:rPr>
          <w:bCs/>
        </w:rPr>
        <w:t xml:space="preserve">Nagylétszámú hízóállományok: </w:t>
      </w:r>
    </w:p>
    <w:p w:rsidR="00180519" w:rsidRDefault="00180519" w:rsidP="00180519">
      <w:pPr>
        <w:ind w:left="1224"/>
        <w:outlineLvl w:val="0"/>
        <w:rPr>
          <w:bCs/>
        </w:rPr>
      </w:pPr>
      <w:r>
        <w:rPr>
          <w:bCs/>
        </w:rPr>
        <w:tab/>
      </w:r>
    </w:p>
    <w:p w:rsidR="002D5CCB" w:rsidRPr="005F6916" w:rsidRDefault="002C3C29" w:rsidP="00180519">
      <w:pPr>
        <w:ind w:left="1224"/>
        <w:outlineLvl w:val="0"/>
        <w:rPr>
          <w:bCs/>
          <w:i/>
          <w:u w:val="single"/>
        </w:rPr>
      </w:pPr>
      <w:r w:rsidRPr="002C3C29">
        <w:rPr>
          <w:bCs/>
          <w:i/>
        </w:rPr>
        <w:t>4.2.2.1.</w:t>
      </w:r>
      <w:r w:rsidR="00180519">
        <w:rPr>
          <w:bCs/>
        </w:rPr>
        <w:t xml:space="preserve"> </w:t>
      </w:r>
      <w:r w:rsidR="002D5CCB" w:rsidRPr="00B34A3A">
        <w:rPr>
          <w:bCs/>
        </w:rPr>
        <w:t>azon állományok, amelyekben valamennyi hízósertés hatóságilag igazoltan PRRS mentes állományból származik</w:t>
      </w:r>
      <w:r w:rsidR="002D5CCB">
        <w:rPr>
          <w:bCs/>
        </w:rPr>
        <w:t xml:space="preserve"> és amelyből elvégezték jelen Mentesítési Terv</w:t>
      </w:r>
      <w:r w:rsidR="002D5CCB" w:rsidRPr="00B34A3A">
        <w:rPr>
          <w:bCs/>
        </w:rPr>
        <w:t xml:space="preserve"> </w:t>
      </w:r>
      <w:r w:rsidR="002D5CCB">
        <w:rPr>
          <w:bCs/>
        </w:rPr>
        <w:t xml:space="preserve">7.1.1. pontjában leírt, </w:t>
      </w:r>
      <w:r w:rsidR="002D5CCB" w:rsidRPr="000229D7">
        <w:t>95%-os biztonság és 10%-os előfordulás figyelembevételével</w:t>
      </w:r>
      <w:r w:rsidR="002D5CCB">
        <w:t xml:space="preserve"> meghatározott számú, a betelepített légterek mindegyikére elosztott, a bent álló állomány egészét reprezentáló vérminta kedvező eredményű szerológiai vizsgálatát, </w:t>
      </w:r>
      <w:r w:rsidR="002D5CCB" w:rsidRPr="00B34A3A">
        <w:rPr>
          <w:bCs/>
        </w:rPr>
        <w:t>mentessé nyilváníthatók</w:t>
      </w:r>
    </w:p>
    <w:p w:rsidR="005F6916" w:rsidRDefault="005F6916" w:rsidP="005F6916">
      <w:pPr>
        <w:pStyle w:val="Listaszerbekezds"/>
        <w:rPr>
          <w:bCs/>
          <w:i/>
          <w:u w:val="single"/>
        </w:rPr>
      </w:pPr>
    </w:p>
    <w:p w:rsidR="005F6916" w:rsidRDefault="002C3C29" w:rsidP="00180519">
      <w:pPr>
        <w:ind w:left="1224"/>
        <w:outlineLvl w:val="0"/>
        <w:rPr>
          <w:bCs/>
        </w:rPr>
      </w:pPr>
      <w:r w:rsidRPr="002C3C29">
        <w:rPr>
          <w:bCs/>
        </w:rPr>
        <w:lastRenderedPageBreak/>
        <w:t>4.2.2.2.</w:t>
      </w:r>
      <w:r w:rsidR="00180519">
        <w:rPr>
          <w:bCs/>
        </w:rPr>
        <w:t xml:space="preserve"> </w:t>
      </w:r>
      <w:r w:rsidR="005F6916">
        <w:rPr>
          <w:bCs/>
        </w:rPr>
        <w:t>A</w:t>
      </w:r>
      <w:r w:rsidR="005F6916" w:rsidRPr="00B34A3A">
        <w:rPr>
          <w:bCs/>
        </w:rPr>
        <w:t xml:space="preserve"> nem hatóságilag igazoltan mentes állományból származó hízósertések minősítő vizsgálata során légterenként 95%-os megbízhatóság és 5%-os előfordulási arány figyelembevételével meghatározott számú egyeden, egyidőben végzett szerológiai vizsgálatot kell elvégezni, és ennek alapján minősíteni az állományt</w:t>
      </w:r>
    </w:p>
    <w:p w:rsidR="00AA6645" w:rsidRDefault="00AA6645" w:rsidP="00AA6645">
      <w:pPr>
        <w:pStyle w:val="Listaszerbekezds"/>
        <w:rPr>
          <w:bCs/>
        </w:rPr>
      </w:pPr>
    </w:p>
    <w:p w:rsidR="00AA6645" w:rsidRPr="00AA6645" w:rsidRDefault="00AA6645" w:rsidP="00AA6645">
      <w:pPr>
        <w:numPr>
          <w:ilvl w:val="2"/>
          <w:numId w:val="10"/>
        </w:numPr>
        <w:outlineLvl w:val="0"/>
        <w:rPr>
          <w:bCs/>
          <w:i/>
          <w:u w:val="single"/>
        </w:rPr>
      </w:pPr>
      <w:r w:rsidRPr="005F6916">
        <w:rPr>
          <w:color w:val="000000"/>
        </w:rPr>
        <w:t>Kislétszámú állományok esetében az állományban lévő valamennyi tenyészkoca és tenyészkan szerológiai vizsgálatát kell egyidőben elvégezni.</w:t>
      </w:r>
    </w:p>
    <w:p w:rsidR="00AA6645" w:rsidRDefault="00AA6645" w:rsidP="00AA6645">
      <w:pPr>
        <w:pStyle w:val="Listaszerbekezds"/>
        <w:rPr>
          <w:bCs/>
          <w:i/>
          <w:u w:val="single"/>
        </w:rPr>
      </w:pPr>
    </w:p>
    <w:p w:rsidR="00AA6645" w:rsidRPr="005F6916" w:rsidRDefault="00AA6645" w:rsidP="00AA6645">
      <w:pPr>
        <w:ind w:left="426"/>
        <w:outlineLvl w:val="0"/>
        <w:rPr>
          <w:bCs/>
          <w:i/>
          <w:u w:val="single"/>
        </w:rPr>
      </w:pPr>
    </w:p>
    <w:p w:rsidR="00A61C5F" w:rsidRDefault="00A61C5F" w:rsidP="00B34A3A">
      <w:pPr>
        <w:pStyle w:val="Listaszerbekezds"/>
        <w:numPr>
          <w:ilvl w:val="0"/>
          <w:numId w:val="10"/>
        </w:numPr>
        <w:spacing w:after="200"/>
      </w:pPr>
      <w:r w:rsidRPr="00E4107E">
        <w:rPr>
          <w:b/>
          <w:iCs/>
        </w:rPr>
        <w:t>E</w:t>
      </w:r>
      <w:r w:rsidR="005D5E38" w:rsidRPr="00E4107E">
        <w:rPr>
          <w:b/>
          <w:iCs/>
        </w:rPr>
        <w:t>ljárás a sertéstartó telepeken</w:t>
      </w:r>
    </w:p>
    <w:p w:rsidR="00A61C5F" w:rsidRPr="00B34A3A" w:rsidRDefault="00A61C5F" w:rsidP="00E4107E">
      <w:pPr>
        <w:pStyle w:val="Listaszerbekezds"/>
        <w:numPr>
          <w:ilvl w:val="1"/>
          <w:numId w:val="10"/>
        </w:numPr>
        <w:rPr>
          <w:i/>
          <w:iCs/>
        </w:rPr>
      </w:pPr>
      <w:r w:rsidRPr="00B34A3A">
        <w:rPr>
          <w:i/>
          <w:iCs/>
        </w:rPr>
        <w:t xml:space="preserve">Ha a minősítő vagy az ellenőrző szerológiai vizsgálat akár egy esetben is pozitív vagy kétes eredményt ad, akkor a továbbiakban </w:t>
      </w:r>
      <w:r w:rsidRPr="00B34A3A">
        <w:rPr>
          <w:rFonts w:eastAsia="Calibri"/>
          <w:bCs/>
        </w:rPr>
        <w:t>A vidékfejlesztési miniszter a sertésállományoknak a sertés reprodukciós zavarokkal és légzőszervi tünetekkel járó szindrómájától való mentesítéséről</w:t>
      </w:r>
      <w:r w:rsidRPr="00B34A3A">
        <w:rPr>
          <w:i/>
          <w:iCs/>
        </w:rPr>
        <w:t xml:space="preserve"> szóló </w:t>
      </w:r>
      <w:r w:rsidRPr="00B34A3A">
        <w:rPr>
          <w:rFonts w:eastAsia="Calibri"/>
          <w:bCs/>
        </w:rPr>
        <w:t>3/2014. (I. 16.) VM</w:t>
      </w:r>
      <w:r w:rsidRPr="00B34A3A">
        <w:rPr>
          <w:rFonts w:eastAsia="Calibri"/>
          <w:b/>
          <w:bCs/>
        </w:rPr>
        <w:t xml:space="preserve"> </w:t>
      </w:r>
      <w:r w:rsidRPr="00B34A3A">
        <w:rPr>
          <w:i/>
          <w:iCs/>
        </w:rPr>
        <w:t>rendelet 8. 9. és 10. §-ában</w:t>
      </w:r>
      <w:r w:rsidR="00861044">
        <w:rPr>
          <w:i/>
          <w:iCs/>
        </w:rPr>
        <w:t xml:space="preserve"> foglaltak szerint kell eljárni:</w:t>
      </w:r>
    </w:p>
    <w:p w:rsidR="00A61C5F" w:rsidRPr="00B34A3A" w:rsidRDefault="00A61C5F" w:rsidP="00A61C5F">
      <w:pPr>
        <w:rPr>
          <w:i/>
          <w:iCs/>
        </w:rPr>
      </w:pPr>
    </w:p>
    <w:p w:rsidR="00A61C5F" w:rsidRDefault="00A61C5F" w:rsidP="00861044">
      <w:pPr>
        <w:pStyle w:val="Listaszerbekezds"/>
        <w:numPr>
          <w:ilvl w:val="2"/>
          <w:numId w:val="10"/>
        </w:numPr>
        <w:rPr>
          <w:i/>
          <w:iCs/>
        </w:rPr>
      </w:pPr>
      <w:r w:rsidRPr="00B34A3A">
        <w:rPr>
          <w:iCs/>
        </w:rPr>
        <w:t>Azt az állományt, amelyben</w:t>
      </w:r>
      <w:r w:rsidR="00000CAE">
        <w:rPr>
          <w:iCs/>
        </w:rPr>
        <w:t xml:space="preserve"> nem vakcinázott</w:t>
      </w:r>
      <w:r w:rsidRPr="00B34A3A">
        <w:rPr>
          <w:iCs/>
        </w:rPr>
        <w:t xml:space="preserve"> pozitív vagy kétes eredményt adó egyedet találnak, megfigyelési zárlat alá kell helyezni, és </w:t>
      </w:r>
      <w:r w:rsidRPr="002418C0">
        <w:rPr>
          <w:iCs/>
        </w:rPr>
        <w:t>a</w:t>
      </w:r>
      <w:r w:rsidR="00BC4554" w:rsidRPr="002418C0">
        <w:rPr>
          <w:iCs/>
        </w:rPr>
        <w:t xml:space="preserve">z </w:t>
      </w:r>
      <w:proofErr w:type="gramStart"/>
      <w:r w:rsidR="00BC4554" w:rsidRPr="002418C0">
        <w:rPr>
          <w:iCs/>
        </w:rPr>
        <w:t>esetlegesen</w:t>
      </w:r>
      <w:r w:rsidR="00BC4554">
        <w:rPr>
          <w:iCs/>
        </w:rPr>
        <w:t xml:space="preserve"> </w:t>
      </w:r>
      <w:r w:rsidRPr="00B34A3A">
        <w:rPr>
          <w:iCs/>
        </w:rPr>
        <w:t xml:space="preserve"> már</w:t>
      </w:r>
      <w:proofErr w:type="gramEnd"/>
      <w:r w:rsidRPr="00B34A3A">
        <w:rPr>
          <w:iCs/>
        </w:rPr>
        <w:t xml:space="preserve"> meglévő mentes státuszt fel kell függeszteni. A pozitív vagy kétes egyed</w:t>
      </w:r>
      <w:r>
        <w:rPr>
          <w:iCs/>
        </w:rPr>
        <w:t>(ek)</w:t>
      </w:r>
      <w:r w:rsidRPr="00B34A3A">
        <w:rPr>
          <w:iCs/>
        </w:rPr>
        <w:t xml:space="preserve"> vérvizsgálatát tizennégy nap múlva az NRL-al egyeztetett, más típusú </w:t>
      </w:r>
      <w:r>
        <w:rPr>
          <w:iCs/>
        </w:rPr>
        <w:t xml:space="preserve">szerológiai </w:t>
      </w:r>
      <w:r w:rsidRPr="00B34A3A">
        <w:rPr>
          <w:iCs/>
        </w:rPr>
        <w:t xml:space="preserve">diagnosztikai módszer alkalmazásával kell megismételni. A fertőzöttség kizárását célzó vizsgálatok állami költségre történnek. </w:t>
      </w:r>
      <w:r w:rsidRPr="00B34A3A">
        <w:rPr>
          <w:i/>
          <w:iCs/>
        </w:rPr>
        <w:t>Amennyiben az ismétlő vizsgálatok negatív eredménnyel zárulnak, a megfigyelési zárlatot fel kell oldani és a korábbiakban mentes állomány visszakapja a mentes minősítését, az újonnan minősített állomány mentességéről pedig határozatot kell kiadni.</w:t>
      </w:r>
    </w:p>
    <w:p w:rsidR="00A61C5F" w:rsidRPr="00B34A3A" w:rsidRDefault="00A61C5F" w:rsidP="00A61C5F">
      <w:pPr>
        <w:pStyle w:val="Listaszerbekezds"/>
        <w:ind w:left="0"/>
        <w:rPr>
          <w:i/>
          <w:iCs/>
        </w:rPr>
      </w:pPr>
    </w:p>
    <w:p w:rsidR="00A61C5F" w:rsidRPr="00B34A3A" w:rsidRDefault="00A61C5F" w:rsidP="00861044">
      <w:pPr>
        <w:pStyle w:val="Listaszerbekezds"/>
        <w:numPr>
          <w:ilvl w:val="2"/>
          <w:numId w:val="10"/>
        </w:numPr>
        <w:spacing w:after="200"/>
      </w:pPr>
      <w:r w:rsidRPr="00B34A3A">
        <w:t xml:space="preserve">Amennyiben az ismétlő vizsgálatok közül bármelyik is kétes vagy pozitív eredményt ad, </w:t>
      </w:r>
      <w:r w:rsidRPr="00B34A3A">
        <w:rPr>
          <w:iCs/>
        </w:rPr>
        <w:t xml:space="preserve">akkor az </w:t>
      </w:r>
      <w:r w:rsidR="002B2C7A">
        <w:rPr>
          <w:iCs/>
        </w:rPr>
        <w:t xml:space="preserve">összes ilyen eredményt adó </w:t>
      </w:r>
      <w:r w:rsidRPr="00B34A3A">
        <w:rPr>
          <w:iCs/>
        </w:rPr>
        <w:t xml:space="preserve">állatot fertőzöttnek kell tekinteni, le kell ölni és </w:t>
      </w:r>
      <w:r w:rsidR="00BC4554" w:rsidRPr="00BC4554">
        <w:rPr>
          <w:i/>
          <w:iCs/>
        </w:rPr>
        <w:t>lép</w:t>
      </w:r>
      <w:r w:rsidR="00BC4554">
        <w:rPr>
          <w:iCs/>
        </w:rPr>
        <w:t xml:space="preserve">éből, </w:t>
      </w:r>
      <w:r w:rsidR="00BC4554" w:rsidRPr="00BC4554">
        <w:rPr>
          <w:i/>
          <w:iCs/>
        </w:rPr>
        <w:t>tüde</w:t>
      </w:r>
      <w:r w:rsidR="00BC4554">
        <w:rPr>
          <w:iCs/>
        </w:rPr>
        <w:t xml:space="preserve">jéből, </w:t>
      </w:r>
      <w:r w:rsidR="00BC4554" w:rsidRPr="00BC4554">
        <w:rPr>
          <w:i/>
          <w:iCs/>
        </w:rPr>
        <w:t>gátorközi nyirokcsomó</w:t>
      </w:r>
      <w:r w:rsidR="00BC4554">
        <w:rPr>
          <w:iCs/>
        </w:rPr>
        <w:t xml:space="preserve">iból valamint </w:t>
      </w:r>
      <w:r w:rsidR="00BC4554" w:rsidRPr="00BC4554">
        <w:rPr>
          <w:i/>
          <w:iCs/>
        </w:rPr>
        <w:t>mandulá</w:t>
      </w:r>
      <w:r w:rsidR="00BC4554">
        <w:rPr>
          <w:iCs/>
        </w:rPr>
        <w:t xml:space="preserve">iból a víruskimutatás céljára megfelelő mintát kell </w:t>
      </w:r>
      <w:r w:rsidRPr="00B34A3A">
        <w:rPr>
          <w:iCs/>
        </w:rPr>
        <w:t>a Nemzeti Referencia</w:t>
      </w:r>
      <w:r w:rsidRPr="00B34A3A">
        <w:t xml:space="preserve"> Laboratóriumba (a továbbiakban: NRL) küldeni.</w:t>
      </w:r>
      <w:r>
        <w:t xml:space="preserve"> </w:t>
      </w:r>
      <w:r w:rsidR="002B2C7A">
        <w:t xml:space="preserve">10 vagy annál több </w:t>
      </w:r>
      <w:r>
        <w:t xml:space="preserve">szeropozitív egyed esetében a betegség </w:t>
      </w:r>
      <w:r w:rsidR="000F262F">
        <w:t xml:space="preserve">5 </w:t>
      </w:r>
      <w:r>
        <w:t xml:space="preserve">%-os elterjedtségének 95%-os biztonsággal történő megállapításához szükséges számú </w:t>
      </w:r>
      <w:r w:rsidR="006178A5">
        <w:t xml:space="preserve">leölt </w:t>
      </w:r>
      <w:r>
        <w:t>állat</w:t>
      </w:r>
      <w:r w:rsidR="002B2C7A">
        <w:t xml:space="preserve">ból származó mintát </w:t>
      </w:r>
      <w:r>
        <w:t xml:space="preserve">kell </w:t>
      </w:r>
      <w:r w:rsidR="002B2C7A">
        <w:t xml:space="preserve">az </w:t>
      </w:r>
      <w:proofErr w:type="spellStart"/>
      <w:r w:rsidR="002B2C7A">
        <w:t>NRL-be</w:t>
      </w:r>
      <w:proofErr w:type="spellEnd"/>
      <w:r w:rsidR="002B2C7A">
        <w:t xml:space="preserve"> küldeni </w:t>
      </w:r>
      <w:r>
        <w:t>víruskimutatás céljából</w:t>
      </w:r>
      <w:r w:rsidR="006178A5">
        <w:t xml:space="preserve">, a többi </w:t>
      </w:r>
      <w:proofErr w:type="spellStart"/>
      <w:r w:rsidR="006178A5">
        <w:t>szeropozitív</w:t>
      </w:r>
      <w:proofErr w:type="spellEnd"/>
      <w:r w:rsidR="006178A5">
        <w:t xml:space="preserve"> egyed vérmintájának PCR vizsgálatát kell az </w:t>
      </w:r>
      <w:proofErr w:type="spellStart"/>
      <w:r w:rsidR="006178A5">
        <w:t>NRL-ban</w:t>
      </w:r>
      <w:proofErr w:type="spellEnd"/>
      <w:r w:rsidR="006178A5">
        <w:t xml:space="preserve"> elvégezni</w:t>
      </w:r>
      <w:r>
        <w:t>.</w:t>
      </w:r>
    </w:p>
    <w:p w:rsidR="00A61C5F" w:rsidRPr="002B2C7A" w:rsidRDefault="00A61C5F" w:rsidP="00861044">
      <w:pPr>
        <w:pStyle w:val="Listaszerbekezds"/>
        <w:numPr>
          <w:ilvl w:val="2"/>
          <w:numId w:val="10"/>
        </w:numPr>
        <w:spacing w:after="200"/>
      </w:pPr>
      <w:r w:rsidRPr="002B2C7A">
        <w:t xml:space="preserve">Amennyiben a leölt </w:t>
      </w:r>
      <w:proofErr w:type="gramStart"/>
      <w:r w:rsidRPr="002B2C7A">
        <w:t>állat(</w:t>
      </w:r>
      <w:proofErr w:type="gramEnd"/>
      <w:r w:rsidRPr="002B2C7A">
        <w:t>ok) laboratóriumi vizsgálata során a betegség vírusát vagy annak genomját nem lehet kimutatni, akkor a megfigyelési zárlatot fel kell oldani, és a korábbiakban mentes állomány visszakapja a mentes minősítését, az újonnan minősített állomány mentességéről pedig határozatot kell kiadni.</w:t>
      </w:r>
    </w:p>
    <w:p w:rsidR="00A61C5F" w:rsidRPr="00B34A3A" w:rsidRDefault="00A61C5F" w:rsidP="00861044">
      <w:pPr>
        <w:pStyle w:val="Listaszerbekezds"/>
        <w:numPr>
          <w:ilvl w:val="2"/>
          <w:numId w:val="10"/>
        </w:numPr>
        <w:spacing w:after="200"/>
        <w:rPr>
          <w:i/>
          <w:iCs/>
        </w:rPr>
      </w:pPr>
      <w:r w:rsidRPr="00B34A3A">
        <w:t>Amennyiben a leölt állat laboratóriumi vizsgálata során a betegség vírusát vagy annak genomját az NRL kimutatja, akkor azt az állományt fertőzöttnek kell tekinteni és forgalmi korlátozás alá kell vonni.</w:t>
      </w:r>
    </w:p>
    <w:p w:rsidR="00A61C5F" w:rsidRPr="00B34A3A" w:rsidRDefault="00A61C5F" w:rsidP="00861044">
      <w:pPr>
        <w:pStyle w:val="Cmsor1"/>
        <w:numPr>
          <w:ilvl w:val="2"/>
          <w:numId w:val="10"/>
        </w:numPr>
        <w:rPr>
          <w:i w:val="0"/>
          <w:iCs w:val="0"/>
        </w:rPr>
      </w:pPr>
      <w:r w:rsidRPr="00B34A3A">
        <w:rPr>
          <w:i w:val="0"/>
          <w:iCs w:val="0"/>
        </w:rPr>
        <w:t xml:space="preserve">A fertőzöttség hatósági megállapítását követően a fertőzött állományok felszámolása vagy mentesítése iránt a járási állategészségügyi hivatal intézkedik. Fertőzöttségre gyanús sertést diagnosztikai vizsgálat céljából az aktuális járványügyi helyzet alapján a járási állategészségügyi hivatal határozatával a </w:t>
      </w:r>
      <w:r w:rsidRPr="00B34A3A">
        <w:rPr>
          <w:i w:val="0"/>
          <w:iCs w:val="0"/>
        </w:rPr>
        <w:lastRenderedPageBreak/>
        <w:t xml:space="preserve">fertőzöttség hatósági megállapítása nélkül is le lehet öletni állami kártalanítás mellett. Fertőzött nagylétszámú állomány esetében a tulajdonosnak mentesítési tervet kell készítenie, amelyet az élelmiszerlánc-biztonsági és állategészségügyi igazgatóságának kell írásban jóváhagyásra benyújtania. Az esetleges vakcinás védekezésről – a földrajzi és járványügyi szempontok figyelembe vételével – az élelmiszerlánc-biztonsági és állategészségügyi igazgatóság a mentesítési tervet jóváhagyó határozatában foglal állást, az országos főállatorvos engedélye alapján. </w:t>
      </w:r>
    </w:p>
    <w:p w:rsidR="00A61C5F" w:rsidRPr="00B34A3A" w:rsidRDefault="00A61C5F" w:rsidP="00A61C5F"/>
    <w:p w:rsidR="00A61C5F" w:rsidRPr="00844C68" w:rsidRDefault="00A61C5F" w:rsidP="00861044">
      <w:pPr>
        <w:pStyle w:val="Listaszerbekezds"/>
        <w:numPr>
          <w:ilvl w:val="2"/>
          <w:numId w:val="10"/>
        </w:numPr>
        <w:rPr>
          <w:color w:val="FF0000"/>
        </w:rPr>
      </w:pPr>
      <w:r w:rsidRPr="00B34A3A">
        <w:t xml:space="preserve">A fertőzött sertéseket a járási állategészségügyi hivatal határozata alapján vágásra kell bocsátani. Amennyiben tenyészállatokat kell vágásra értékesíteni, a tulajdonos a tenyészérték és a vágóérték különbségének mértékében állami kártalanításra jogosult. </w:t>
      </w:r>
      <w:r w:rsidRPr="00E44AC5">
        <w:rPr>
          <w:i/>
          <w:u w:val="single"/>
        </w:rPr>
        <w:t>Az állami kártalanítással történő állománycsere csak a mentesítés alá vont területeken lehetséges.</w:t>
      </w:r>
      <w:r w:rsidR="00844C68">
        <w:rPr>
          <w:i/>
          <w:u w:val="single"/>
        </w:rPr>
        <w:t xml:space="preserve"> </w:t>
      </w:r>
      <w:r w:rsidR="00844C68" w:rsidRPr="006178A5">
        <w:rPr>
          <w:i/>
          <w:u w:val="single"/>
        </w:rPr>
        <w:t>Ettől eltér</w:t>
      </w:r>
      <w:r w:rsidR="00DB52FE" w:rsidRPr="006178A5">
        <w:rPr>
          <w:i/>
          <w:u w:val="single"/>
        </w:rPr>
        <w:t>ni</w:t>
      </w:r>
      <w:r w:rsidR="00844C68" w:rsidRPr="006178A5">
        <w:rPr>
          <w:i/>
          <w:u w:val="single"/>
        </w:rPr>
        <w:t xml:space="preserve"> csak az országos </w:t>
      </w:r>
      <w:proofErr w:type="spellStart"/>
      <w:r w:rsidR="00844C68" w:rsidRPr="006178A5">
        <w:rPr>
          <w:i/>
          <w:u w:val="single"/>
        </w:rPr>
        <w:t>főállatorvos</w:t>
      </w:r>
      <w:proofErr w:type="spellEnd"/>
      <w:r w:rsidR="00844C68" w:rsidRPr="006178A5">
        <w:rPr>
          <w:i/>
          <w:u w:val="single"/>
        </w:rPr>
        <w:t xml:space="preserve"> engedély</w:t>
      </w:r>
      <w:r w:rsidR="00DB52FE" w:rsidRPr="006178A5">
        <w:rPr>
          <w:i/>
          <w:u w:val="single"/>
        </w:rPr>
        <w:t>ével</w:t>
      </w:r>
      <w:r w:rsidR="00844C68" w:rsidRPr="006178A5">
        <w:rPr>
          <w:i/>
          <w:u w:val="single"/>
        </w:rPr>
        <w:t xml:space="preserve"> lehet.</w:t>
      </w:r>
      <w:r w:rsidR="00844C68" w:rsidRPr="00844C68">
        <w:rPr>
          <w:i/>
          <w:color w:val="FF0000"/>
          <w:u w:val="single"/>
        </w:rPr>
        <w:t xml:space="preserve"> </w:t>
      </w:r>
    </w:p>
    <w:p w:rsidR="00A61C5F" w:rsidRPr="00B34A3A" w:rsidRDefault="00A61C5F" w:rsidP="00A61C5F"/>
    <w:p w:rsidR="000A6A27" w:rsidRPr="00861044" w:rsidRDefault="00A61C5F" w:rsidP="00861044">
      <w:pPr>
        <w:pStyle w:val="Listaszerbekezds"/>
        <w:numPr>
          <w:ilvl w:val="2"/>
          <w:numId w:val="10"/>
        </w:numPr>
        <w:rPr>
          <w:i/>
          <w:iCs/>
        </w:rPr>
      </w:pPr>
      <w:r w:rsidRPr="00B34A3A">
        <w:t>A fertőzött vagy fertőzöttségre gyanús sertések elhullása során keletkezett összes hulladékot a nem emberi fogyasztásra szánt állati eredetű melléktermékekre vonatkozó állategészségügyi szabályok megállapításáról szóló miniszteri rendeletben előírt módon ártalmatlanítani kell.</w:t>
      </w:r>
    </w:p>
    <w:p w:rsidR="00861044" w:rsidRDefault="00861044" w:rsidP="00861044">
      <w:pPr>
        <w:pStyle w:val="Listaszerbekezds"/>
        <w:rPr>
          <w:i/>
          <w:iCs/>
        </w:rPr>
      </w:pPr>
    </w:p>
    <w:p w:rsidR="00861044" w:rsidRDefault="00861044" w:rsidP="00861044">
      <w:pPr>
        <w:pStyle w:val="Listaszerbekezds"/>
        <w:numPr>
          <w:ilvl w:val="1"/>
          <w:numId w:val="10"/>
        </w:numPr>
        <w:spacing w:after="200"/>
        <w:rPr>
          <w:i/>
          <w:iCs/>
        </w:rPr>
      </w:pPr>
      <w:r>
        <w:rPr>
          <w:i/>
          <w:iCs/>
        </w:rPr>
        <w:t>Eljárás a mentesítés alá vont területen</w:t>
      </w:r>
    </w:p>
    <w:p w:rsidR="00815F86" w:rsidRPr="00815F86" w:rsidRDefault="00815F86" w:rsidP="00023D82">
      <w:pPr>
        <w:numPr>
          <w:ilvl w:val="2"/>
          <w:numId w:val="10"/>
        </w:numPr>
        <w:autoSpaceDE w:val="0"/>
        <w:autoSpaceDN w:val="0"/>
        <w:adjustRightInd w:val="0"/>
        <w:spacing w:after="200"/>
      </w:pPr>
      <w:r w:rsidRPr="00B34A3A">
        <w:rPr>
          <w:bCs/>
          <w:i/>
          <w:u w:val="single"/>
        </w:rPr>
        <w:t>Tenyésztelep:</w:t>
      </w:r>
    </w:p>
    <w:p w:rsidR="00861044" w:rsidRDefault="00861044" w:rsidP="00815F86">
      <w:pPr>
        <w:autoSpaceDE w:val="0"/>
        <w:autoSpaceDN w:val="0"/>
        <w:adjustRightInd w:val="0"/>
        <w:spacing w:after="200"/>
        <w:ind w:left="1224"/>
      </w:pPr>
      <w:r>
        <w:t>A</w:t>
      </w:r>
      <w:r w:rsidRPr="00B34A3A">
        <w:t xml:space="preserve"> PRRS fertőzött, nagylétszámú </w:t>
      </w:r>
      <w:r w:rsidR="002C3C29" w:rsidRPr="002C3C29">
        <w:t>tenyésztelepek</w:t>
      </w:r>
      <w:r w:rsidR="00844C68">
        <w:t xml:space="preserve"> </w:t>
      </w:r>
      <w:r w:rsidRPr="00B34A3A">
        <w:t>mentesítése</w:t>
      </w:r>
      <w:r>
        <w:t xml:space="preserve"> jellemzően</w:t>
      </w:r>
      <w:r w:rsidRPr="00B34A3A">
        <w:t xml:space="preserve"> </w:t>
      </w:r>
      <w:r w:rsidR="00844C68">
        <w:t xml:space="preserve">teljes , egyidejű </w:t>
      </w:r>
      <w:r w:rsidRPr="00B34A3A">
        <w:t xml:space="preserve">állománycserével, állami kártalanítás mellett történik. Az állami kártalanítás feltétele a tulajdonos részéről a legalább hasonló nagyságú </w:t>
      </w:r>
      <w:r w:rsidR="00844C68">
        <w:t>tenyész</w:t>
      </w:r>
      <w:r w:rsidRPr="00B34A3A">
        <w:t>állomány újratelepítésé</w:t>
      </w:r>
      <w:r>
        <w:t xml:space="preserve">vel </w:t>
      </w:r>
      <w:r w:rsidR="002C3C29" w:rsidRPr="002C3C29">
        <w:t>mentes nagylétszámú tenyésztelep</w:t>
      </w:r>
      <w:r w:rsidR="00844C68">
        <w:t xml:space="preserve"> </w:t>
      </w:r>
      <w:r>
        <w:t>létrehozására</w:t>
      </w:r>
      <w:r w:rsidRPr="00B34A3A">
        <w:t xml:space="preserve"> vállalt kötelezettség. Ennek hiányában állami kártalanítás nem adható, és a telepről élőállat-mozgatás csak vágóhídra értékesítés formájában történhet. Az állománycsere folyamata kapcsán törekedni kell a minél magasabb állategészségügyi és genetikai státuszú (minél több nagy gazdasági kárt okozó fertőző betegségtől mentes, potenciálisan magasabb profitabilitást biztosító) állomány telepítésére.</w:t>
      </w:r>
      <w:r w:rsidR="00815F86">
        <w:t xml:space="preserve"> </w:t>
      </w:r>
    </w:p>
    <w:p w:rsidR="00844C68" w:rsidRPr="00DB52FE" w:rsidRDefault="002C3C29" w:rsidP="00844C68">
      <w:pPr>
        <w:autoSpaceDE w:val="0"/>
        <w:autoSpaceDN w:val="0"/>
        <w:adjustRightInd w:val="0"/>
        <w:spacing w:after="200"/>
        <w:ind w:left="1224"/>
      </w:pPr>
      <w:r w:rsidRPr="002C3C29">
        <w:t xml:space="preserve">A </w:t>
      </w:r>
      <w:proofErr w:type="gramStart"/>
      <w:r w:rsidRPr="002C3C29">
        <w:t>mentesítés</w:t>
      </w:r>
      <w:proofErr w:type="gramEnd"/>
      <w:r w:rsidRPr="002C3C29">
        <w:t xml:space="preserve"> alá vont területen a PRRS fertőzött, </w:t>
      </w:r>
      <w:proofErr w:type="spellStart"/>
      <w:r w:rsidRPr="002C3C29">
        <w:t>nagylétszámú</w:t>
      </w:r>
      <w:proofErr w:type="spellEnd"/>
      <w:r w:rsidRPr="002C3C29">
        <w:t xml:space="preserve"> </w:t>
      </w:r>
      <w:proofErr w:type="spellStart"/>
      <w:r w:rsidRPr="002C3C29">
        <w:t>tenyésztelepek</w:t>
      </w:r>
      <w:proofErr w:type="spellEnd"/>
      <w:r w:rsidRPr="002C3C29">
        <w:t xml:space="preserve"> mentesítése során a teljes, állománycserétől eltérő PRRS mentesítési módszerek alkalmazása kizárólag az országos főállatorvos engedélyével lehetséges. Az engedély iránti kérelmet a kérelmező </w:t>
      </w:r>
      <w:proofErr w:type="spellStart"/>
      <w:r w:rsidRPr="002C3C29">
        <w:t>tenyésztelep</w:t>
      </w:r>
      <w:r w:rsidR="00DB52FE">
        <w:t>nek</w:t>
      </w:r>
      <w:proofErr w:type="spellEnd"/>
      <w:r w:rsidRPr="002C3C29">
        <w:t xml:space="preserve"> a megyei KH </w:t>
      </w:r>
      <w:proofErr w:type="spellStart"/>
      <w:r w:rsidRPr="002C3C29">
        <w:t>ÉLBÁI-hoz</w:t>
      </w:r>
      <w:proofErr w:type="spellEnd"/>
      <w:r w:rsidRPr="002C3C29">
        <w:t xml:space="preserve"> kell benyújtania.  </w:t>
      </w:r>
    </w:p>
    <w:p w:rsidR="00023D82" w:rsidRDefault="00023D82" w:rsidP="00023D82">
      <w:pPr>
        <w:pStyle w:val="Listaszerbekezds"/>
        <w:spacing w:after="240"/>
        <w:ind w:left="1080"/>
        <w:contextualSpacing/>
        <w:outlineLvl w:val="0"/>
      </w:pPr>
    </w:p>
    <w:p w:rsidR="00861044" w:rsidRPr="00815F86" w:rsidRDefault="00861044" w:rsidP="00023D82">
      <w:pPr>
        <w:pStyle w:val="Listaszerbekezds"/>
        <w:numPr>
          <w:ilvl w:val="2"/>
          <w:numId w:val="10"/>
        </w:numPr>
        <w:spacing w:after="200"/>
        <w:ind w:left="1080"/>
        <w:contextualSpacing/>
        <w:outlineLvl w:val="0"/>
        <w:rPr>
          <w:b/>
          <w:bCs/>
        </w:rPr>
      </w:pPr>
      <w:r w:rsidRPr="00815F86">
        <w:rPr>
          <w:bCs/>
          <w:i/>
          <w:u w:val="single"/>
        </w:rPr>
        <w:t>Hízótelep:</w:t>
      </w:r>
      <w:r w:rsidRPr="00815F86">
        <w:rPr>
          <w:bCs/>
        </w:rPr>
        <w:t xml:space="preserve"> </w:t>
      </w:r>
    </w:p>
    <w:p w:rsidR="00861044" w:rsidRPr="00DB52FE" w:rsidRDefault="002C3C29" w:rsidP="00861044">
      <w:pPr>
        <w:numPr>
          <w:ilvl w:val="3"/>
          <w:numId w:val="30"/>
        </w:numPr>
        <w:outlineLvl w:val="0"/>
        <w:rPr>
          <w:b/>
          <w:bCs/>
        </w:rPr>
      </w:pPr>
      <w:r w:rsidRPr="002C3C29">
        <w:t>az utolsó, a Nemzeti Mentesítési Terv 6. pontjában megadott ütemezés szerinti időpontban beérkező, fertőzött vagy PRRS szempontból nem minősített (pl. bármely EU országból, vagy harmadik országból származó import hízóalapanyag) helyről származó állomány kifuthat,</w:t>
      </w:r>
    </w:p>
    <w:p w:rsidR="00861044" w:rsidRPr="00861044" w:rsidRDefault="00861044" w:rsidP="00861044">
      <w:pPr>
        <w:numPr>
          <w:ilvl w:val="3"/>
          <w:numId w:val="30"/>
        </w:numPr>
        <w:outlineLvl w:val="0"/>
        <w:rPr>
          <w:b/>
          <w:bCs/>
        </w:rPr>
      </w:pPr>
      <w:r w:rsidRPr="00B34A3A">
        <w:lastRenderedPageBreak/>
        <w:t xml:space="preserve">a továbbiak az esetleges szerződéses kapcsolatoktól függenek, de </w:t>
      </w:r>
      <w:r w:rsidR="00023D82">
        <w:t>az előző bekezdésben leírt időpont</w:t>
      </w:r>
      <w:r w:rsidRPr="00B34A3A">
        <w:t xml:space="preserve"> után kizárólag igazoltan mentes állományból származó sertések érkezhetnek a telepre.</w:t>
      </w:r>
    </w:p>
    <w:p w:rsidR="00861044" w:rsidRPr="007E2D3F" w:rsidRDefault="00861044" w:rsidP="007E2D3F">
      <w:pPr>
        <w:numPr>
          <w:ilvl w:val="3"/>
          <w:numId w:val="30"/>
        </w:numPr>
        <w:spacing w:after="200"/>
        <w:outlineLvl w:val="0"/>
        <w:rPr>
          <w:bCs/>
        </w:rPr>
      </w:pPr>
      <w:r w:rsidRPr="00861044">
        <w:rPr>
          <w:color w:val="000000"/>
        </w:rPr>
        <w:t xml:space="preserve">a fertőzött hízóállományok állománycseréje során az adott telep csak akkor minősíthető mentesnek, amennyiben az utolsó fertőzött vagy PRRS szempontjából nem minősített helyről származó állomány végsúlyra történő hizlalása és értékesítése után a telepet egyszer teljesen kiürítették, valamint annak takarítását és fertőtlenítését </w:t>
      </w:r>
      <w:r>
        <w:t xml:space="preserve">elvégezték. A minősítés alapját képező, </w:t>
      </w:r>
      <w:r w:rsidRPr="007E2D3F">
        <w:t>mentes helyről származó hízóalapanyag betelepítése csak ezt követően történhet meg, tehát a tartás folytonossága, a „rátelepítés” esetén a telep nem minősíthető mentesnek.</w:t>
      </w:r>
    </w:p>
    <w:p w:rsidR="007E2D3F" w:rsidRDefault="007E2D3F" w:rsidP="007E2D3F">
      <w:pPr>
        <w:numPr>
          <w:ilvl w:val="1"/>
          <w:numId w:val="10"/>
        </w:numPr>
        <w:spacing w:after="200"/>
        <w:outlineLvl w:val="0"/>
        <w:rPr>
          <w:bCs/>
          <w:i/>
        </w:rPr>
      </w:pPr>
      <w:r w:rsidRPr="007E2D3F">
        <w:rPr>
          <w:bCs/>
          <w:i/>
        </w:rPr>
        <w:t>Eljárás a mentesítés alá nem vont területen</w:t>
      </w:r>
    </w:p>
    <w:p w:rsidR="004D7A0E" w:rsidRPr="00815F86" w:rsidRDefault="004D7A0E" w:rsidP="007E2D3F">
      <w:pPr>
        <w:numPr>
          <w:ilvl w:val="2"/>
          <w:numId w:val="10"/>
        </w:numPr>
        <w:autoSpaceDE w:val="0"/>
        <w:autoSpaceDN w:val="0"/>
        <w:adjustRightInd w:val="0"/>
        <w:spacing w:after="200"/>
        <w:rPr>
          <w:color w:val="FF0000"/>
        </w:rPr>
      </w:pPr>
      <w:r>
        <w:rPr>
          <w:bCs/>
        </w:rPr>
        <w:t>A fertőzött nagylétszámú telepek mentesítési terveinek elkészítése, azok megyei KH ÉBÁI általi jóváhagyása</w:t>
      </w:r>
      <w:r w:rsidR="004B0DD9">
        <w:rPr>
          <w:bCs/>
        </w:rPr>
        <w:t>:</w:t>
      </w:r>
      <w:r>
        <w:rPr>
          <w:bCs/>
        </w:rPr>
        <w:t xml:space="preserve"> </w:t>
      </w:r>
      <w:r w:rsidR="004B0DD9">
        <w:rPr>
          <w:bCs/>
        </w:rPr>
        <w:t>a</w:t>
      </w:r>
      <w:r w:rsidRPr="00B34A3A">
        <w:rPr>
          <w:bCs/>
        </w:rPr>
        <w:t xml:space="preserve"> PRRS Mentesítési Bizottság a fertőzött nagylétszámú telepek PRRS mentesítési terveinek elkészítéséhez összeállított egy sablont (template), amely meghatározza,</w:t>
      </w:r>
      <w:r>
        <w:rPr>
          <w:bCs/>
        </w:rPr>
        <w:t xml:space="preserve"> minimálisan </w:t>
      </w:r>
      <w:r w:rsidRPr="00B34A3A">
        <w:rPr>
          <w:bCs/>
        </w:rPr>
        <w:t xml:space="preserve"> milyen adatoknak és ismereteknek (állatmozgatás, járványvédelem, kockázat elemzés, eddigi védekezés, egyéb fertőző betegségek helyzete, külső- és belső telepi járványvédelmi intézkedések (amelynek minden telepen eddigiekben is létezniük kell) stb.) kell szerepelniük a telepek mentesítési tervében. Kiemelendő, hogy a mentesítési tervnek egyedinek, telepspecifikusnak, a telep technológiai folyamatai figyel</w:t>
      </w:r>
      <w:r w:rsidR="00815F86">
        <w:rPr>
          <w:bCs/>
        </w:rPr>
        <w:t>e</w:t>
      </w:r>
      <w:r w:rsidRPr="00B34A3A">
        <w:rPr>
          <w:bCs/>
        </w:rPr>
        <w:t>mbevételével kialakítottnak kell lennie.</w:t>
      </w:r>
      <w:r w:rsidR="00815F86">
        <w:rPr>
          <w:bCs/>
        </w:rPr>
        <w:t xml:space="preserve"> </w:t>
      </w:r>
      <w:r w:rsidR="002C3C29" w:rsidRPr="002C3C29">
        <w:rPr>
          <w:bCs/>
        </w:rPr>
        <w:t xml:space="preserve">Ezen telepek </w:t>
      </w:r>
      <w:proofErr w:type="gramStart"/>
      <w:r w:rsidR="002C3C29" w:rsidRPr="002C3C29">
        <w:rPr>
          <w:bCs/>
        </w:rPr>
        <w:t>mentesítési</w:t>
      </w:r>
      <w:proofErr w:type="gramEnd"/>
      <w:r w:rsidR="002C3C29" w:rsidRPr="002C3C29">
        <w:rPr>
          <w:bCs/>
        </w:rPr>
        <w:t xml:space="preserve"> tervének legalább olyan járványvédelmi, immunizálási, állománymenedzselési módszereket kell tartalmaznia, amelyek már a mentesség elérése előtt nagy valószínűséggel meggátolják a fertőző PRRS vírus kijutását és más állományok megfertőzését. </w:t>
      </w:r>
    </w:p>
    <w:p w:rsidR="007E2D3F" w:rsidRDefault="007E2D3F" w:rsidP="007E2D3F">
      <w:pPr>
        <w:numPr>
          <w:ilvl w:val="2"/>
          <w:numId w:val="10"/>
        </w:numPr>
        <w:autoSpaceDE w:val="0"/>
        <w:autoSpaceDN w:val="0"/>
        <w:adjustRightInd w:val="0"/>
        <w:spacing w:after="200"/>
      </w:pPr>
      <w:r>
        <w:t>A</w:t>
      </w:r>
      <w:r w:rsidRPr="00B34A3A">
        <w:t xml:space="preserve"> PRRS fertőzött, </w:t>
      </w:r>
      <w:r>
        <w:t>nagylétszámú telepek mentesítésének előkészítése, a vírusürítés csökkentése jellemzően</w:t>
      </w:r>
      <w:r w:rsidRPr="00B34A3A">
        <w:t xml:space="preserve"> </w:t>
      </w:r>
      <w:r>
        <w:t>vakcinás védekezéssel t</w:t>
      </w:r>
      <w:r w:rsidRPr="00B34A3A">
        <w:t xml:space="preserve">örténik. </w:t>
      </w:r>
      <w:r w:rsidR="004D7A0E">
        <w:t>A</w:t>
      </w:r>
      <w:r w:rsidRPr="00B34A3A">
        <w:t xml:space="preserve">z </w:t>
      </w:r>
      <w:r w:rsidR="004D7A0E">
        <w:t>előkészítés</w:t>
      </w:r>
      <w:r w:rsidRPr="00B34A3A">
        <w:t xml:space="preserve"> folyamata kapcsán törekedni kell a </w:t>
      </w:r>
      <w:r w:rsidR="004D7A0E">
        <w:t xml:space="preserve">fertőzött tenyészkocák normál technológia szerinti selejtezés során történő cseréjére, </w:t>
      </w:r>
      <w:r w:rsidRPr="00B34A3A">
        <w:t>minél magasabb állategészségügyi és genetikai státuszú (minél több nagy gazdasági kárt okozó fertőző betegségtől mentes, potenciálisan magasabb profitabilitást biztosító) állomány telepítésére.</w:t>
      </w:r>
    </w:p>
    <w:p w:rsidR="00023D82" w:rsidRDefault="00023D82" w:rsidP="00B34A3A"/>
    <w:p w:rsidR="00E44AC5" w:rsidRPr="00B34A3A" w:rsidRDefault="00E44AC5" w:rsidP="00B34A3A"/>
    <w:p w:rsidR="00BC0978" w:rsidRPr="00BC0978" w:rsidRDefault="006B7FCC" w:rsidP="00BC0978">
      <w:r w:rsidRPr="00BC0978">
        <w:rPr>
          <w:b/>
          <w:i/>
        </w:rPr>
        <w:t xml:space="preserve"> </w:t>
      </w:r>
    </w:p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BC0978" w:rsidRPr="00BC0978" w:rsidRDefault="00BC0978" w:rsidP="00BC0978"/>
    <w:p w:rsidR="000E029F" w:rsidRPr="000E029F" w:rsidRDefault="002F2712" w:rsidP="002D5CCB">
      <w:pPr>
        <w:pStyle w:val="Listaszerbekezds"/>
        <w:numPr>
          <w:ilvl w:val="0"/>
          <w:numId w:val="10"/>
        </w:numPr>
      </w:pPr>
      <w:r w:rsidRPr="00B34A3A">
        <w:rPr>
          <w:b/>
          <w:i/>
        </w:rPr>
        <w:lastRenderedPageBreak/>
        <w:t xml:space="preserve">Az Intézkedési Terv lépései és határidők </w:t>
      </w:r>
      <w:r w:rsidR="000E029F">
        <w:rPr>
          <w:b/>
          <w:i/>
        </w:rPr>
        <w:t>az egyes megyék és régiók vonatkozásában:</w:t>
      </w:r>
    </w:p>
    <w:p w:rsidR="000A6A27" w:rsidRDefault="000A6A27">
      <w:pPr>
        <w:pStyle w:val="Listaszerbekezds"/>
        <w:rPr>
          <w:b/>
          <w:i/>
        </w:rPr>
      </w:pPr>
    </w:p>
    <w:p w:rsidR="000A6A27" w:rsidRDefault="000A6A27">
      <w:pPr>
        <w:pStyle w:val="Listaszerbekezds"/>
        <w:ind w:left="357"/>
        <w:rPr>
          <w:b/>
          <w:i/>
        </w:rPr>
      </w:pPr>
    </w:p>
    <w:p w:rsidR="00BC0978" w:rsidRDefault="00BC0978">
      <w:pPr>
        <w:pStyle w:val="Listaszerbekezds"/>
        <w:ind w:left="357"/>
        <w:rPr>
          <w:b/>
          <w:i/>
        </w:rPr>
      </w:pPr>
    </w:p>
    <w:p w:rsidR="000A6A27" w:rsidRDefault="000A6A27">
      <w:pPr>
        <w:pStyle w:val="Listaszerbekezds"/>
        <w:ind w:left="357"/>
        <w:rPr>
          <w:b/>
          <w:i/>
        </w:rPr>
      </w:pPr>
    </w:p>
    <w:tbl>
      <w:tblPr>
        <w:tblW w:w="11739" w:type="dxa"/>
        <w:tblInd w:w="-1277" w:type="dxa"/>
        <w:tblCellMar>
          <w:left w:w="70" w:type="dxa"/>
          <w:right w:w="70" w:type="dxa"/>
        </w:tblCellMar>
        <w:tblLook w:val="04A0"/>
      </w:tblPr>
      <w:tblGrid>
        <w:gridCol w:w="1540"/>
        <w:gridCol w:w="1106"/>
        <w:gridCol w:w="2551"/>
        <w:gridCol w:w="2031"/>
        <w:gridCol w:w="1925"/>
        <w:gridCol w:w="2586"/>
      </w:tblGrid>
      <w:tr w:rsidR="000E029F" w:rsidRPr="00BC0978" w:rsidTr="00BC0978">
        <w:trPr>
          <w:trHeight w:val="15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978">
              <w:rPr>
                <w:b/>
                <w:bCs/>
                <w:color w:val="000000"/>
                <w:sz w:val="20"/>
                <w:szCs w:val="20"/>
              </w:rPr>
              <w:t>Régió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978">
              <w:rPr>
                <w:b/>
                <w:bCs/>
                <w:color w:val="000000"/>
                <w:sz w:val="20"/>
                <w:szCs w:val="20"/>
              </w:rPr>
              <w:t>Megye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C0978">
              <w:rPr>
                <w:b/>
                <w:bCs/>
                <w:color w:val="000000"/>
                <w:sz w:val="20"/>
                <w:szCs w:val="20"/>
              </w:rPr>
              <w:t>Mentesítés</w:t>
            </w:r>
            <w:proofErr w:type="gramEnd"/>
            <w:r w:rsidRPr="00BC0978">
              <w:rPr>
                <w:b/>
                <w:bCs/>
                <w:color w:val="000000"/>
                <w:sz w:val="20"/>
                <w:szCs w:val="20"/>
              </w:rPr>
              <w:t xml:space="preserve"> alá vont t</w:t>
            </w:r>
            <w:r w:rsidR="00000CAE" w:rsidRPr="00BC0978">
              <w:rPr>
                <w:b/>
                <w:bCs/>
                <w:color w:val="000000"/>
                <w:sz w:val="20"/>
                <w:szCs w:val="20"/>
              </w:rPr>
              <w:t>erület kezdete</w:t>
            </w: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BC0978">
              <w:rPr>
                <w:b/>
                <w:bCs/>
                <w:color w:val="000000"/>
                <w:sz w:val="20"/>
                <w:szCs w:val="20"/>
              </w:rPr>
              <w:t>Mentesítés</w:t>
            </w:r>
            <w:proofErr w:type="gramEnd"/>
            <w:r w:rsidRPr="00BC0978">
              <w:rPr>
                <w:b/>
                <w:bCs/>
                <w:color w:val="000000"/>
                <w:sz w:val="20"/>
                <w:szCs w:val="20"/>
              </w:rPr>
              <w:t xml:space="preserve"> befejezése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029F" w:rsidRPr="00BC0978" w:rsidRDefault="000E029F" w:rsidP="00000CA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978">
              <w:rPr>
                <w:b/>
                <w:bCs/>
                <w:color w:val="000000"/>
                <w:sz w:val="20"/>
                <w:szCs w:val="20"/>
              </w:rPr>
              <w:t>Nagylétszámú tenyészállományok mentesítés</w:t>
            </w:r>
            <w:r w:rsidR="00000CAE" w:rsidRPr="00BC0978">
              <w:rPr>
                <w:b/>
                <w:bCs/>
                <w:color w:val="000000"/>
                <w:sz w:val="20"/>
                <w:szCs w:val="20"/>
              </w:rPr>
              <w:t>ének</w:t>
            </w:r>
            <w:r w:rsidRPr="00BC0978">
              <w:rPr>
                <w:b/>
                <w:bCs/>
                <w:color w:val="000000"/>
                <w:sz w:val="20"/>
                <w:szCs w:val="20"/>
              </w:rPr>
              <w:t xml:space="preserve"> módja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0978">
              <w:rPr>
                <w:b/>
                <w:bCs/>
                <w:color w:val="000000"/>
                <w:sz w:val="20"/>
                <w:szCs w:val="20"/>
              </w:rPr>
              <w:t>Nagylétszámú hízóállományokba utoljára bevihető fertőzött állat időpont</w:t>
            </w:r>
            <w:r w:rsidR="00A37447" w:rsidRPr="00BC097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91D40" w:rsidRPr="00BC0978" w:rsidTr="00BC0978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Észak-Kelet Mo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200680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Nógrád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2014. március 24.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2015. március 31. legkésőbb 2015. június 30.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állománycsere</w:t>
            </w:r>
          </w:p>
        </w:tc>
        <w:tc>
          <w:tcPr>
            <w:tcW w:w="2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2014. december 31.</w:t>
            </w:r>
          </w:p>
        </w:tc>
      </w:tr>
      <w:tr w:rsidR="000E029F" w:rsidRPr="00BC0978" w:rsidTr="00BC09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Heves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E029F" w:rsidRPr="00BC0978" w:rsidTr="00BC09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BAZ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SZSZB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1D40" w:rsidRPr="00BC0978" w:rsidTr="00BC0978">
        <w:trPr>
          <w:trHeight w:val="465"/>
        </w:trPr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Dél-Nyugat Mo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Vas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2014. március 24.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2015. március 31. legkésőbb 2015. június 30.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állománycsere</w:t>
            </w:r>
          </w:p>
        </w:tc>
        <w:tc>
          <w:tcPr>
            <w:tcW w:w="2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2014. december 31.</w:t>
            </w:r>
          </w:p>
        </w:tc>
      </w:tr>
      <w:tr w:rsidR="000E029F" w:rsidRPr="00BC0978" w:rsidTr="00BC0978">
        <w:trPr>
          <w:trHeight w:val="600"/>
        </w:trPr>
        <w:tc>
          <w:tcPr>
            <w:tcW w:w="15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Zala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66FF66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Somogy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2014. március 24.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F8601E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2017. december 31.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egyéb módszer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:rsidR="000E029F" w:rsidRPr="00BC0978" w:rsidRDefault="00F8601E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2017. június 30.</w:t>
            </w: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1D40" w:rsidRPr="00BC0978" w:rsidTr="00BC0978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9FD9F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2/1. ütem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Baranya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9FD9F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2014. november 1.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FD9F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C0978">
              <w:rPr>
                <w:color w:val="000000"/>
                <w:sz w:val="20"/>
                <w:szCs w:val="20"/>
              </w:rPr>
              <w:t>2016 június</w:t>
            </w:r>
            <w:proofErr w:type="gramEnd"/>
            <w:r w:rsidRPr="00BC0978">
              <w:rPr>
                <w:color w:val="000000"/>
                <w:sz w:val="20"/>
                <w:szCs w:val="20"/>
              </w:rPr>
              <w:t xml:space="preserve"> 30.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9FD9F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állománycsere</w:t>
            </w:r>
          </w:p>
        </w:tc>
        <w:tc>
          <w:tcPr>
            <w:tcW w:w="2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FD9F"/>
            <w:vAlign w:val="center"/>
            <w:hideMark/>
          </w:tcPr>
          <w:p w:rsidR="000E029F" w:rsidRPr="00BC0978" w:rsidRDefault="000E029F" w:rsidP="00DB52FE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 xml:space="preserve">2015. </w:t>
            </w:r>
            <w:r w:rsidR="00DB52FE" w:rsidRPr="00BC0978">
              <w:rPr>
                <w:color w:val="000000"/>
                <w:sz w:val="20"/>
                <w:szCs w:val="20"/>
              </w:rPr>
              <w:t>június 30.</w:t>
            </w:r>
          </w:p>
        </w:tc>
      </w:tr>
      <w:tr w:rsidR="000E029F" w:rsidRPr="00BC0978" w:rsidTr="00BC09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Tolna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E029F" w:rsidRPr="00BC0978" w:rsidTr="00BC09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Pest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Fejér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Komárom-Esztergom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2017. június 30.</w:t>
            </w: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2C3C29" w:rsidP="004B0DD9">
            <w:pPr>
              <w:jc w:val="center"/>
              <w:rPr>
                <w:sz w:val="20"/>
                <w:szCs w:val="20"/>
              </w:rPr>
            </w:pPr>
            <w:r w:rsidRPr="00BC0978">
              <w:rPr>
                <w:sz w:val="20"/>
                <w:szCs w:val="20"/>
              </w:rPr>
              <w:t>2015. december 31.</w:t>
            </w: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2/2. ütem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Hajdú-Bihar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9FD9F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2014. november 1.</w:t>
            </w:r>
          </w:p>
        </w:tc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2018. június 30.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egyéb és állománycsere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FD9F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2017. december 31.</w:t>
            </w: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1D40" w:rsidRPr="00BC0978" w:rsidTr="00BC0978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3. ütem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Győr-Moson-Sopron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2015. november 1.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2019. június 30.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egyéb és állománycsere</w:t>
            </w:r>
          </w:p>
        </w:tc>
        <w:tc>
          <w:tcPr>
            <w:tcW w:w="25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E029F" w:rsidRPr="00BC0978" w:rsidRDefault="002C3C29" w:rsidP="000E029F">
            <w:pPr>
              <w:jc w:val="center"/>
              <w:rPr>
                <w:sz w:val="20"/>
                <w:szCs w:val="20"/>
              </w:rPr>
            </w:pPr>
            <w:r w:rsidRPr="00BC0978">
              <w:rPr>
                <w:sz w:val="20"/>
                <w:szCs w:val="20"/>
                <w:highlight w:val="yellow"/>
              </w:rPr>
              <w:t xml:space="preserve">2016. december 31. </w:t>
            </w: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Veszprém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029F" w:rsidRPr="00BC0978" w:rsidTr="00BC0978">
        <w:trPr>
          <w:trHeight w:val="300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Békés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E029F" w:rsidRPr="00BC0978" w:rsidRDefault="00023D82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2018. decem</w:t>
            </w:r>
            <w:r w:rsidR="000E029F" w:rsidRPr="00BC0978">
              <w:rPr>
                <w:color w:val="000000"/>
                <w:sz w:val="20"/>
                <w:szCs w:val="20"/>
              </w:rPr>
              <w:t>ber 31.</w:t>
            </w: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Csongrád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D91D40" w:rsidRPr="00BC0978" w:rsidTr="00BC0978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0E029F" w:rsidRPr="00BC0978" w:rsidRDefault="000E029F" w:rsidP="000E029F">
            <w:pPr>
              <w:jc w:val="left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91D40" w:rsidRPr="00BC0978" w:rsidTr="00BC0978">
        <w:trPr>
          <w:trHeight w:val="300"/>
        </w:trPr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4. ütem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Jász-Nagykun-Szolnok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2017. november 1.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2020. június 30.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egyéb és állománycsere</w:t>
            </w:r>
          </w:p>
        </w:tc>
        <w:tc>
          <w:tcPr>
            <w:tcW w:w="2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color w:val="000000"/>
                <w:sz w:val="20"/>
                <w:szCs w:val="20"/>
              </w:rPr>
            </w:pPr>
            <w:r w:rsidRPr="00BC0978">
              <w:rPr>
                <w:color w:val="000000"/>
                <w:sz w:val="20"/>
                <w:szCs w:val="20"/>
              </w:rPr>
              <w:t>2019. december 31.</w:t>
            </w:r>
          </w:p>
        </w:tc>
      </w:tr>
      <w:tr w:rsidR="000E029F" w:rsidRPr="00BC0978" w:rsidTr="00BC0978">
        <w:trPr>
          <w:trHeight w:val="315"/>
        </w:trPr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E029F" w:rsidRPr="00BC0978" w:rsidRDefault="000E029F" w:rsidP="000E02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C0978">
              <w:rPr>
                <w:rFonts w:ascii="Calibri" w:hAnsi="Calibri"/>
                <w:color w:val="000000"/>
                <w:sz w:val="20"/>
                <w:szCs w:val="20"/>
              </w:rPr>
              <w:t>Bács-Kiskun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029F" w:rsidRPr="00BC0978" w:rsidRDefault="000E029F" w:rsidP="000E029F">
            <w:pPr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0A6A27" w:rsidRDefault="000A6A27">
      <w:pPr>
        <w:pStyle w:val="Listaszerbekezds"/>
        <w:ind w:left="357"/>
      </w:pPr>
    </w:p>
    <w:p w:rsidR="002F2712" w:rsidRPr="00B34A3A" w:rsidRDefault="002F2712" w:rsidP="00B34A3A">
      <w:pPr>
        <w:autoSpaceDE w:val="0"/>
        <w:autoSpaceDN w:val="0"/>
        <w:adjustRightInd w:val="0"/>
      </w:pPr>
    </w:p>
    <w:p w:rsidR="005D5E38" w:rsidRPr="00B34A3A" w:rsidRDefault="006B7FCC" w:rsidP="00B34A3A">
      <w:pPr>
        <w:pStyle w:val="Listaszerbekezds"/>
        <w:numPr>
          <w:ilvl w:val="1"/>
          <w:numId w:val="10"/>
        </w:numPr>
        <w:rPr>
          <w:i/>
          <w:iCs/>
        </w:rPr>
      </w:pPr>
      <w:r w:rsidRPr="00B34A3A">
        <w:rPr>
          <w:i/>
          <w:iCs/>
        </w:rPr>
        <w:lastRenderedPageBreak/>
        <w:t xml:space="preserve"> </w:t>
      </w:r>
      <w:r w:rsidR="005D5E38" w:rsidRPr="00B34A3A">
        <w:rPr>
          <w:i/>
          <w:iCs/>
        </w:rPr>
        <w:t>Kislétszámú telepek</w:t>
      </w:r>
    </w:p>
    <w:p w:rsidR="0023090B" w:rsidRPr="00B34A3A" w:rsidRDefault="0023090B" w:rsidP="00B34A3A">
      <w:pPr>
        <w:pStyle w:val="Listaszerbekezds"/>
        <w:ind w:left="720"/>
        <w:rPr>
          <w:i/>
          <w:iCs/>
        </w:rPr>
      </w:pPr>
    </w:p>
    <w:p w:rsidR="00A15804" w:rsidRPr="006F6331" w:rsidRDefault="00A11DD5" w:rsidP="00B34A3A">
      <w:pPr>
        <w:pStyle w:val="Listaszerbekezds"/>
        <w:numPr>
          <w:ilvl w:val="2"/>
          <w:numId w:val="10"/>
        </w:numPr>
        <w:ind w:left="720"/>
        <w:rPr>
          <w:i/>
          <w:iCs/>
        </w:rPr>
      </w:pPr>
      <w:r w:rsidRPr="00B34A3A">
        <w:rPr>
          <w:b/>
          <w:i/>
          <w:u w:val="single"/>
        </w:rPr>
        <w:t xml:space="preserve">Egységesen </w:t>
      </w:r>
      <w:r w:rsidRPr="00B34A3A">
        <w:t>az ország valamennyi megyéjében 2014-ben május 31-ig el kell végezni val</w:t>
      </w:r>
      <w:r w:rsidR="00DB6FB7" w:rsidRPr="00B34A3A">
        <w:t>amennyi kislétszámú állományban</w:t>
      </w:r>
      <w:r w:rsidRPr="00B34A3A">
        <w:rPr>
          <w:rFonts w:eastAsia="Calibri"/>
          <w:bCs/>
        </w:rPr>
        <w:t xml:space="preserve"> a tenyészállatot tartó udvarokban valamennyi tenyészkan, valamennyi tenyészkoca, valamennyi vemhes tenyészkocasüldő és a 4 hónaposnál idősebb egyéb sertések 5%-a, de leg</w:t>
      </w:r>
      <w:r w:rsidR="00782721" w:rsidRPr="00B34A3A">
        <w:rPr>
          <w:rFonts w:eastAsia="Calibri"/>
          <w:bCs/>
        </w:rPr>
        <w:t>a</w:t>
      </w:r>
      <w:r w:rsidRPr="00B34A3A">
        <w:rPr>
          <w:rFonts w:eastAsia="Calibri"/>
          <w:bCs/>
        </w:rPr>
        <w:t xml:space="preserve">lább egy egyed, önálló árutermelő hízóállományokban </w:t>
      </w:r>
      <w:r w:rsidR="00782721" w:rsidRPr="00B34A3A">
        <w:rPr>
          <w:bCs/>
        </w:rPr>
        <w:t>95%-os megbízhatóság és 20%-os előfordulási arány figyelembevételével meghatározott számú (20-nál kisebb létszámú állományban</w:t>
      </w:r>
      <w:r w:rsidR="00881FBB" w:rsidRPr="00B34A3A">
        <w:rPr>
          <w:bCs/>
        </w:rPr>
        <w:t xml:space="preserve"> az állatok 10%-a, de minimum egy egyed) sertés</w:t>
      </w:r>
      <w:r w:rsidRPr="00B34A3A">
        <w:rPr>
          <w:rFonts w:eastAsia="Calibri"/>
          <w:bCs/>
        </w:rPr>
        <w:t xml:space="preserve"> </w:t>
      </w:r>
      <w:r w:rsidRPr="00B34A3A">
        <w:t xml:space="preserve"> ellenőrző vizsgálatát.</w:t>
      </w:r>
      <w:r w:rsidR="00A15804" w:rsidRPr="00B34A3A">
        <w:t xml:space="preserve"> </w:t>
      </w:r>
      <w:r w:rsidR="009E454F">
        <w:t>A fertőzött kislétszámú állományok cseréjét az ország egész területén 2014. december 31-ig kell végrehajtani, ez esetben a tenyészállatok levágatása során a tenyészérték és vágóérték különbségének megfelelő állami kártalanításra az ország egész területén jogosult a kislétszámú állomány tartója.</w:t>
      </w:r>
    </w:p>
    <w:p w:rsidR="000A6A27" w:rsidRDefault="000A6A27">
      <w:pPr>
        <w:pStyle w:val="Listaszerbekezds"/>
        <w:ind w:left="720"/>
        <w:rPr>
          <w:i/>
          <w:iCs/>
        </w:rPr>
      </w:pPr>
    </w:p>
    <w:p w:rsidR="000A6A27" w:rsidRDefault="006F6331">
      <w:pPr>
        <w:ind w:left="62"/>
      </w:pPr>
      <w:r w:rsidRPr="00202179">
        <w:t xml:space="preserve">Azokban a kislétszámú állományokban, </w:t>
      </w:r>
    </w:p>
    <w:p w:rsidR="006F6331" w:rsidRDefault="006F6331" w:rsidP="006F6331">
      <w:pPr>
        <w:numPr>
          <w:ilvl w:val="0"/>
          <w:numId w:val="14"/>
        </w:numPr>
      </w:pPr>
      <w:r w:rsidRPr="00202179">
        <w:t>ahol jelentős mértékű (50% feletti) a két különböző szerológiai vizsgálat során szeropozitívnak talált állatok aránya, az állománycserét PCR vizsgálat elvégzése nélkül, a szerológiai eredmény</w:t>
      </w:r>
      <w:r>
        <w:t>ek alapján is el lehet rendelni,</w:t>
      </w:r>
    </w:p>
    <w:p w:rsidR="006F6331" w:rsidRPr="00202179" w:rsidRDefault="006F6331" w:rsidP="006F6331">
      <w:pPr>
        <w:numPr>
          <w:ilvl w:val="0"/>
          <w:numId w:val="14"/>
        </w:numPr>
      </w:pPr>
      <w:r>
        <w:t>a</w:t>
      </w:r>
      <w:r w:rsidRPr="00202179">
        <w:t>z 50%-ot meg nem haladó fertőzöttségi arányú kislétszámú állományokban minden esetben szükséges az ismételt vizsgálatban is szeropozitív egyed(ek) diagnosztikai vágása, az annak során vett minta PCR vizsgálata. A PCR vizsgálatra lép, tüdő, tonsilla, nyirok</w:t>
      </w:r>
      <w:r>
        <w:t>csomó és vérsavó minta küldendő,</w:t>
      </w:r>
    </w:p>
    <w:p w:rsidR="006F6331" w:rsidRDefault="006F6331" w:rsidP="006F6331">
      <w:pPr>
        <w:numPr>
          <w:ilvl w:val="0"/>
          <w:numId w:val="14"/>
        </w:numPr>
      </w:pPr>
      <w:r>
        <w:t>amennyiben a PCR vizsgálat eredménye is pozitívnak bizonyul, az egész állomány levágatása, majd fertőtlenítés és pihentetés után új, mentes állatokkal való újratelepítés,</w:t>
      </w:r>
    </w:p>
    <w:p w:rsidR="006F6331" w:rsidRDefault="006F6331" w:rsidP="006F6331">
      <w:pPr>
        <w:numPr>
          <w:ilvl w:val="0"/>
          <w:numId w:val="14"/>
        </w:numPr>
      </w:pPr>
      <w:r>
        <w:t>amennyiben a PCR vizsgálattal a vírusgenom nem mutatható ki, az állományban maradt szeronegatív állat(ok)nak az utolsó kétszer szeropozitív egyed levágásától számított legalább 28 nap elteltével megismételt szerológiai vizsgálata,</w:t>
      </w:r>
    </w:p>
    <w:p w:rsidR="006F6331" w:rsidRDefault="006F6331" w:rsidP="006F6331">
      <w:pPr>
        <w:numPr>
          <w:ilvl w:val="0"/>
          <w:numId w:val="14"/>
        </w:numPr>
      </w:pPr>
      <w:r>
        <w:t>amennyiben az állományban maradt állatok ebben a vizsgálatban is szeronegatívnak bizonyulnak, a megfigyelési zárlat feloldható és az udvar mentesnek minősíthető.</w:t>
      </w:r>
    </w:p>
    <w:p w:rsidR="000A6A27" w:rsidRDefault="006F6331">
      <w:pPr>
        <w:ind w:left="360"/>
      </w:pPr>
      <w:r w:rsidRPr="002E64D1">
        <w:t>Az eljárás során elvégzett vizsgálatok mindegyike (szerológiai</w:t>
      </w:r>
      <w:r>
        <w:t xml:space="preserve"> és virológiai is) állami költségre történik.</w:t>
      </w:r>
    </w:p>
    <w:p w:rsidR="000A6A27" w:rsidRDefault="006F6331">
      <w:pPr>
        <w:ind w:left="360"/>
      </w:pPr>
      <w:r w:rsidRPr="00202179">
        <w:t>Amennyiben egy cserére kerülő kislétszámú állomány csak hízókból áll, a felszámolása elhalasztható, amíg valamennyi állat eléri a vágási testtömeget (</w:t>
      </w:r>
      <w:r>
        <w:t>legkésőbb</w:t>
      </w:r>
      <w:r w:rsidRPr="00202179">
        <w:t xml:space="preserve"> 2014. december 31.). Ez esetben az állatok levágását be kell jelenteni az állategészségügyi hatóságnak, valamint a hatósági állatorvosnak 2014. december 31-ig a helyszínen ellenőriznie kell, hogy megtörtént-e az állomány felszámolása, illetve hogy az állattartó időközi döntése alapján nem került-e sor valamely hízó tenyészállattá történő átminősítésére.</w:t>
      </w:r>
    </w:p>
    <w:p w:rsidR="000A6A27" w:rsidRDefault="006F6331">
      <w:pPr>
        <w:ind w:left="360"/>
      </w:pPr>
      <w:r w:rsidRPr="00202179">
        <w:t xml:space="preserve"> Amennyiben a kislétszámú állományban tenyész- és hízóállat egyaránt található, a felszámolása a hízóállatok vágási testtömegének eléréséig halasztható. Ez esetben a tenyészállatok termékenyítése tilos, valamint a gazdaságba sertés nem szállítható be, amíg az utolsó állat eltávolítását követő takarítás és fertőtlenítés meg nem történik.</w:t>
      </w:r>
    </w:p>
    <w:p w:rsidR="000A6A27" w:rsidRDefault="006F6331">
      <w:pPr>
        <w:ind w:left="360"/>
      </w:pPr>
      <w:r>
        <w:t xml:space="preserve"> Tenyésztő szervezet által nyilvántartásba vett tenyészkanok esetében a tartó választhatja meg, hogy az állat teljes tenyészértékén történő kártalanítása mellett elvégzett azonnali vágása vagy herélését követően a hús emberi fogyasztásra való alkalmassá válása (legkésőbb 2014. december 31.) után a húsérték megtartásával történő vágása történjen meg.</w:t>
      </w:r>
    </w:p>
    <w:p w:rsidR="009E454F" w:rsidRDefault="009E454F" w:rsidP="009E454F">
      <w:pPr>
        <w:pStyle w:val="Listaszerbekezds"/>
        <w:ind w:left="360"/>
        <w:rPr>
          <w:i/>
          <w:iCs/>
        </w:rPr>
      </w:pPr>
    </w:p>
    <w:p w:rsidR="009E454F" w:rsidRDefault="009E454F" w:rsidP="009E454F">
      <w:pPr>
        <w:pStyle w:val="Listaszerbekezds"/>
        <w:ind w:left="360"/>
        <w:rPr>
          <w:i/>
          <w:iCs/>
        </w:rPr>
      </w:pPr>
    </w:p>
    <w:p w:rsidR="00C312B5" w:rsidRPr="00B34A3A" w:rsidRDefault="00C312B5" w:rsidP="00B34A3A">
      <w:pPr>
        <w:pStyle w:val="Listaszerbekezds"/>
        <w:numPr>
          <w:ilvl w:val="1"/>
          <w:numId w:val="10"/>
        </w:numPr>
        <w:rPr>
          <w:i/>
          <w:iCs/>
        </w:rPr>
      </w:pPr>
      <w:r w:rsidRPr="00B34A3A">
        <w:rPr>
          <w:i/>
          <w:iCs/>
        </w:rPr>
        <w:lastRenderedPageBreak/>
        <w:t>Az Intézkedési Terv által előírt lépések és határidők összefoglalása</w:t>
      </w:r>
    </w:p>
    <w:p w:rsidR="00C312B5" w:rsidRPr="00B34A3A" w:rsidRDefault="00C312B5" w:rsidP="00B34A3A">
      <w:pPr>
        <w:autoSpaceDE w:val="0"/>
        <w:autoSpaceDN w:val="0"/>
        <w:adjustRightInd w:val="0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</w:p>
        </w:tc>
        <w:tc>
          <w:tcPr>
            <w:tcW w:w="3071" w:type="dxa"/>
            <w:vAlign w:val="center"/>
          </w:tcPr>
          <w:p w:rsidR="00C312B5" w:rsidRPr="00B34A3A" w:rsidRDefault="00DF1558" w:rsidP="00DF1558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</w:pPr>
            <w:r>
              <w:t xml:space="preserve">ütemben </w:t>
            </w:r>
            <w:r w:rsidR="00C312B5" w:rsidRPr="00B34A3A">
              <w:t>mentesítés alá vont terület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összes többi megye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NL állományok minősítése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2014. június 30.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2014. december 31.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KL állományok minősítése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2014. május 31.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2014. május 31.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fertőzött KL állományok cseréje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2014. június 30.</w:t>
            </w:r>
          </w:p>
        </w:tc>
        <w:tc>
          <w:tcPr>
            <w:tcW w:w="3071" w:type="dxa"/>
            <w:vAlign w:val="center"/>
          </w:tcPr>
          <w:p w:rsidR="00C312B5" w:rsidRPr="00B34A3A" w:rsidRDefault="00B57CD6" w:rsidP="00DF1558">
            <w:pPr>
              <w:autoSpaceDE w:val="0"/>
              <w:autoSpaceDN w:val="0"/>
              <w:adjustRightInd w:val="0"/>
            </w:pPr>
            <w:r w:rsidRPr="00B34A3A">
              <w:t xml:space="preserve">2014. </w:t>
            </w:r>
            <w:r w:rsidR="00DF1558">
              <w:t>december</w:t>
            </w:r>
            <w:r w:rsidRPr="00B34A3A">
              <w:t xml:space="preserve"> 3</w:t>
            </w:r>
            <w:r w:rsidR="00DF1558">
              <w:t>1</w:t>
            </w:r>
            <w:r w:rsidRPr="00B34A3A">
              <w:t>.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települések minősítése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2014. szeptember 30.</w:t>
            </w:r>
          </w:p>
        </w:tc>
        <w:tc>
          <w:tcPr>
            <w:tcW w:w="3071" w:type="dxa"/>
            <w:vAlign w:val="center"/>
          </w:tcPr>
          <w:p w:rsidR="00C312B5" w:rsidRPr="00B34A3A" w:rsidRDefault="00B57CD6" w:rsidP="00B34A3A">
            <w:pPr>
              <w:autoSpaceDE w:val="0"/>
              <w:autoSpaceDN w:val="0"/>
              <w:adjustRightInd w:val="0"/>
            </w:pPr>
            <w:r w:rsidRPr="00B34A3A">
              <w:t xml:space="preserve">2014. december 31. 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megyei mentesítési terv elkészítése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DF1558">
            <w:pPr>
              <w:autoSpaceDE w:val="0"/>
              <w:autoSpaceDN w:val="0"/>
              <w:adjustRightInd w:val="0"/>
            </w:pPr>
            <w:r w:rsidRPr="00B34A3A">
              <w:t xml:space="preserve">2014. </w:t>
            </w:r>
            <w:r w:rsidR="00DF1558">
              <w:t>augusztus 31-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DF1558">
            <w:pPr>
              <w:autoSpaceDE w:val="0"/>
              <w:autoSpaceDN w:val="0"/>
              <w:adjustRightInd w:val="0"/>
            </w:pPr>
            <w:r w:rsidRPr="00B34A3A">
              <w:t xml:space="preserve">2015. </w:t>
            </w:r>
            <w:r w:rsidR="00DF1558">
              <w:t>február 28.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megyei mentesítési terv jóváhagyása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DF1558">
            <w:pPr>
              <w:autoSpaceDE w:val="0"/>
              <w:autoSpaceDN w:val="0"/>
              <w:adjustRightInd w:val="0"/>
            </w:pPr>
            <w:r w:rsidRPr="00B34A3A">
              <w:t xml:space="preserve">2014. </w:t>
            </w:r>
            <w:r w:rsidR="00DF1558">
              <w:t>szeptember 30.</w:t>
            </w:r>
          </w:p>
        </w:tc>
        <w:tc>
          <w:tcPr>
            <w:tcW w:w="3071" w:type="dxa"/>
            <w:vAlign w:val="center"/>
          </w:tcPr>
          <w:p w:rsidR="00C312B5" w:rsidRPr="00B34A3A" w:rsidRDefault="00DF1558" w:rsidP="00DF1558">
            <w:pPr>
              <w:autoSpaceDE w:val="0"/>
              <w:autoSpaceDN w:val="0"/>
              <w:adjustRightInd w:val="0"/>
            </w:pPr>
            <w:r>
              <w:t>2015. március 31.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NL telepek mentesítési terveinek elkészítése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DF1558">
            <w:pPr>
              <w:autoSpaceDE w:val="0"/>
              <w:autoSpaceDN w:val="0"/>
              <w:adjustRightInd w:val="0"/>
            </w:pPr>
            <w:r w:rsidRPr="00B34A3A">
              <w:t xml:space="preserve">2014. </w:t>
            </w:r>
            <w:r w:rsidR="00DF1558">
              <w:t>november 30.</w:t>
            </w:r>
          </w:p>
        </w:tc>
        <w:tc>
          <w:tcPr>
            <w:tcW w:w="3071" w:type="dxa"/>
            <w:vAlign w:val="center"/>
          </w:tcPr>
          <w:p w:rsidR="00C312B5" w:rsidRPr="00B34A3A" w:rsidRDefault="00B57CD6" w:rsidP="00DF1558">
            <w:pPr>
              <w:autoSpaceDE w:val="0"/>
              <w:autoSpaceDN w:val="0"/>
              <w:adjustRightInd w:val="0"/>
            </w:pPr>
            <w:r w:rsidRPr="00B34A3A">
              <w:t xml:space="preserve">2015. </w:t>
            </w:r>
            <w:r w:rsidR="00DF1558">
              <w:t>május 31.</w:t>
            </w:r>
          </w:p>
        </w:tc>
      </w:tr>
      <w:tr w:rsidR="00C312B5" w:rsidRPr="00B34A3A" w:rsidTr="00DE4857">
        <w:tc>
          <w:tcPr>
            <w:tcW w:w="3070" w:type="dxa"/>
            <w:vAlign w:val="center"/>
          </w:tcPr>
          <w:p w:rsidR="00C312B5" w:rsidRPr="00B34A3A" w:rsidRDefault="00C312B5" w:rsidP="00B34A3A">
            <w:pPr>
              <w:autoSpaceDE w:val="0"/>
              <w:autoSpaceDN w:val="0"/>
              <w:adjustRightInd w:val="0"/>
            </w:pPr>
            <w:r w:rsidRPr="00B34A3A">
              <w:t>NL telepek mentesítési terveinek jóváhagyása</w:t>
            </w:r>
          </w:p>
        </w:tc>
        <w:tc>
          <w:tcPr>
            <w:tcW w:w="3071" w:type="dxa"/>
            <w:vAlign w:val="center"/>
          </w:tcPr>
          <w:p w:rsidR="00C312B5" w:rsidRPr="00B34A3A" w:rsidRDefault="00C312B5" w:rsidP="00DF1558">
            <w:pPr>
              <w:autoSpaceDE w:val="0"/>
              <w:autoSpaceDN w:val="0"/>
              <w:adjustRightInd w:val="0"/>
            </w:pPr>
            <w:r w:rsidRPr="00B34A3A">
              <w:t xml:space="preserve">2014. </w:t>
            </w:r>
            <w:r w:rsidR="00DF1558">
              <w:t>december 31.</w:t>
            </w:r>
          </w:p>
        </w:tc>
        <w:tc>
          <w:tcPr>
            <w:tcW w:w="3071" w:type="dxa"/>
            <w:vAlign w:val="center"/>
          </w:tcPr>
          <w:p w:rsidR="00B57CD6" w:rsidRPr="00B34A3A" w:rsidRDefault="00B57CD6" w:rsidP="00DF1558">
            <w:pPr>
              <w:autoSpaceDE w:val="0"/>
              <w:autoSpaceDN w:val="0"/>
              <w:adjustRightInd w:val="0"/>
            </w:pPr>
            <w:r w:rsidRPr="00B34A3A">
              <w:t xml:space="preserve">2015. </w:t>
            </w:r>
            <w:r w:rsidR="00DF1558">
              <w:t>június 30.</w:t>
            </w:r>
          </w:p>
        </w:tc>
      </w:tr>
    </w:tbl>
    <w:p w:rsidR="00C312B5" w:rsidRPr="00B34A3A" w:rsidRDefault="00C312B5" w:rsidP="00B34A3A">
      <w:pPr>
        <w:autoSpaceDE w:val="0"/>
        <w:autoSpaceDN w:val="0"/>
        <w:adjustRightInd w:val="0"/>
      </w:pPr>
    </w:p>
    <w:p w:rsidR="00CC6E4D" w:rsidRPr="00B34A3A" w:rsidRDefault="00CC6E4D" w:rsidP="00B34A3A"/>
    <w:p w:rsidR="00CC6E4D" w:rsidRPr="00B34A3A" w:rsidRDefault="00CC6E4D" w:rsidP="00B34A3A"/>
    <w:p w:rsidR="0062459C" w:rsidRPr="00B34A3A" w:rsidRDefault="0062459C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B34A3A">
        <w:rPr>
          <w:b/>
          <w:iCs/>
          <w:sz w:val="26"/>
          <w:szCs w:val="26"/>
        </w:rPr>
        <w:t>Mentes települések, megyék, régiók kialakítása:</w:t>
      </w:r>
    </w:p>
    <w:p w:rsidR="00221C7D" w:rsidRPr="00B34A3A" w:rsidRDefault="00221C7D" w:rsidP="00B34A3A"/>
    <w:p w:rsidR="0062459C" w:rsidRPr="00B34A3A" w:rsidRDefault="0062459C" w:rsidP="00B34A3A">
      <w:pPr>
        <w:ind w:left="708"/>
      </w:pPr>
      <w:r w:rsidRPr="00B34A3A">
        <w:t>A mentesítés regionális alapokra épül, amely régiók kijelölésénél a fertőzöttségi arány mellett legalább akkora súllyal figyelembe kell venni a telepek számát, területi eloszlását, az állománysűrűséget és a telepek közötti távolságot.  A mentesítési eljárás alá vont megyét/régiót a NÉBIH ÁÁI jelöli ki.</w:t>
      </w:r>
    </w:p>
    <w:p w:rsidR="0062459C" w:rsidRPr="00B34A3A" w:rsidRDefault="0062459C" w:rsidP="00B34A3A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62459C" w:rsidRPr="00B34A3A" w:rsidRDefault="0062459C" w:rsidP="00B34A3A">
      <w:pPr>
        <w:pStyle w:val="Listaszerbekezds"/>
        <w:numPr>
          <w:ilvl w:val="2"/>
          <w:numId w:val="10"/>
        </w:numPr>
        <w:ind w:left="720"/>
      </w:pPr>
      <w:r w:rsidRPr="00B34A3A">
        <w:rPr>
          <w:rFonts w:eastAsia="Calibri"/>
        </w:rPr>
        <w:t xml:space="preserve">PRRS-től mentes az a település, amelynek </w:t>
      </w:r>
      <w:r w:rsidR="00A264C4">
        <w:rPr>
          <w:rFonts w:eastAsia="Calibri"/>
        </w:rPr>
        <w:t>bel</w:t>
      </w:r>
      <w:r w:rsidRPr="00B34A3A">
        <w:rPr>
          <w:rFonts w:eastAsia="Calibri"/>
        </w:rPr>
        <w:t>területén</w:t>
      </w:r>
      <w:r w:rsidR="002C717F">
        <w:rPr>
          <w:rFonts w:eastAsia="Calibri"/>
        </w:rPr>
        <w:t xml:space="preserve"> található sertésállomány és az elvégzett minősítő vizsgálatok szerint</w:t>
      </w:r>
      <w:r w:rsidRPr="00B34A3A">
        <w:rPr>
          <w:rFonts w:eastAsia="Calibri"/>
        </w:rPr>
        <w:t xml:space="preserve"> valamennyi nagylétszámú állomány és a kislétszámú</w:t>
      </w:r>
      <w:r w:rsidR="008D5C65" w:rsidRPr="00B34A3A">
        <w:rPr>
          <w:rFonts w:eastAsia="Calibri"/>
        </w:rPr>
        <w:t xml:space="preserve"> </w:t>
      </w:r>
      <w:r w:rsidRPr="00B34A3A">
        <w:rPr>
          <w:rFonts w:eastAsia="Calibri"/>
        </w:rPr>
        <w:t>állományok 99%-a mentes.</w:t>
      </w:r>
    </w:p>
    <w:p w:rsidR="0062459C" w:rsidRPr="00B34A3A" w:rsidRDefault="0062459C" w:rsidP="00B34A3A">
      <w:pPr>
        <w:pStyle w:val="Listaszerbekezds"/>
        <w:numPr>
          <w:ilvl w:val="2"/>
          <w:numId w:val="10"/>
        </w:numPr>
        <w:ind w:left="720"/>
      </w:pPr>
      <w:r w:rsidRPr="00B34A3A">
        <w:rPr>
          <w:rFonts w:eastAsia="Calibri"/>
        </w:rPr>
        <w:t xml:space="preserve">PRRS-től mentes az a megye, amelynek területén valamennyi nagylétszámú állomány és a </w:t>
      </w:r>
      <w:r w:rsidR="002C717F">
        <w:rPr>
          <w:rFonts w:eastAsia="Calibri"/>
        </w:rPr>
        <w:t xml:space="preserve">vizsgált </w:t>
      </w:r>
      <w:r w:rsidRPr="00B34A3A">
        <w:rPr>
          <w:rFonts w:eastAsia="Calibri"/>
        </w:rPr>
        <w:t>települések 99%-a</w:t>
      </w:r>
      <w:r w:rsidR="008D5C65" w:rsidRPr="00B34A3A">
        <w:rPr>
          <w:rFonts w:eastAsia="Calibri"/>
        </w:rPr>
        <w:t xml:space="preserve"> </w:t>
      </w:r>
      <w:r w:rsidRPr="00B34A3A">
        <w:rPr>
          <w:rFonts w:eastAsia="Calibri"/>
        </w:rPr>
        <w:t>mentes.</w:t>
      </w:r>
    </w:p>
    <w:p w:rsidR="006B7FCC" w:rsidRPr="00B34A3A" w:rsidRDefault="0062459C" w:rsidP="00B34A3A">
      <w:pPr>
        <w:pStyle w:val="Listaszerbekezds"/>
        <w:numPr>
          <w:ilvl w:val="2"/>
          <w:numId w:val="10"/>
        </w:numPr>
        <w:ind w:left="720"/>
      </w:pPr>
      <w:r w:rsidRPr="00B34A3A">
        <w:rPr>
          <w:rFonts w:eastAsia="Calibri"/>
        </w:rPr>
        <w:t>PRRS-től mentes az a régió, amely földrajzilag jól körülhatárolt, területén valamennyi nagylétszámú állomány és</w:t>
      </w:r>
      <w:r w:rsidR="008D5C65" w:rsidRPr="00B34A3A">
        <w:rPr>
          <w:rFonts w:eastAsia="Calibri"/>
        </w:rPr>
        <w:t xml:space="preserve"> </w:t>
      </w:r>
      <w:r w:rsidRPr="00B34A3A">
        <w:rPr>
          <w:rFonts w:eastAsia="Calibri"/>
        </w:rPr>
        <w:t xml:space="preserve">a </w:t>
      </w:r>
      <w:r w:rsidR="002C717F">
        <w:rPr>
          <w:rFonts w:eastAsia="Calibri"/>
        </w:rPr>
        <w:t xml:space="preserve">vizsgált </w:t>
      </w:r>
      <w:r w:rsidRPr="00B34A3A">
        <w:rPr>
          <w:rFonts w:eastAsia="Calibri"/>
        </w:rPr>
        <w:t>települések 99%-a mentes. A régió lehet egy megye része, illetve több megyére kiterjedő terület.</w:t>
      </w:r>
    </w:p>
    <w:p w:rsidR="006B7FCC" w:rsidRPr="00B34A3A" w:rsidRDefault="0062459C" w:rsidP="00B34A3A">
      <w:pPr>
        <w:pStyle w:val="Listaszerbekezds"/>
        <w:numPr>
          <w:ilvl w:val="2"/>
          <w:numId w:val="10"/>
        </w:numPr>
        <w:ind w:left="720"/>
      </w:pPr>
      <w:r w:rsidRPr="00B34A3A">
        <w:t>A mentes településeken, megyékben, régiókban, valamint a mentesítés alá vont területeken tilos a PRRS betegség elleni vakcinázás.</w:t>
      </w:r>
    </w:p>
    <w:p w:rsidR="0062459C" w:rsidRPr="00B34A3A" w:rsidRDefault="008D5C65" w:rsidP="00B34A3A">
      <w:pPr>
        <w:pStyle w:val="Listaszerbekezds"/>
        <w:numPr>
          <w:ilvl w:val="2"/>
          <w:numId w:val="10"/>
        </w:numPr>
        <w:ind w:left="720"/>
      </w:pPr>
      <w:r w:rsidRPr="00B34A3A">
        <w:t>A mentes településeken, megyékben, régiókban, a mentes</w:t>
      </w:r>
      <w:r w:rsidR="003E3ECC" w:rsidRPr="00B34A3A">
        <w:t xml:space="preserve"> </w:t>
      </w:r>
      <w:r w:rsidRPr="00B34A3A">
        <w:t xml:space="preserve">terület határa mentén lévő 15-km-es körzetben </w:t>
      </w:r>
      <w:r w:rsidR="0062459C" w:rsidRPr="00B34A3A">
        <w:t xml:space="preserve">a </w:t>
      </w:r>
      <w:r w:rsidR="00EE5E63" w:rsidRPr="00B34A3A">
        <w:t xml:space="preserve">nagylétszámú </w:t>
      </w:r>
      <w:r w:rsidR="0062459C" w:rsidRPr="00B34A3A">
        <w:t>sertésállományok</w:t>
      </w:r>
      <w:r w:rsidR="00EE5E63" w:rsidRPr="00B34A3A">
        <w:t>ba történő</w:t>
      </w:r>
      <w:r w:rsidR="0062459C" w:rsidRPr="00B34A3A">
        <w:t xml:space="preserve"> beszállításhoz </w:t>
      </w:r>
      <w:r w:rsidR="00DD3203" w:rsidRPr="00B34A3A">
        <w:t xml:space="preserve">és elkülönítéshez </w:t>
      </w:r>
      <w:r w:rsidR="0062459C" w:rsidRPr="00B34A3A">
        <w:t xml:space="preserve">a </w:t>
      </w:r>
      <w:r w:rsidR="00DD3203" w:rsidRPr="00B34A3A">
        <w:t>járási</w:t>
      </w:r>
      <w:r w:rsidR="0062459C" w:rsidRPr="00B34A3A">
        <w:t xml:space="preserve"> főállatorvos engedélye szükséges.</w:t>
      </w:r>
    </w:p>
    <w:p w:rsidR="0062459C" w:rsidRPr="00B34A3A" w:rsidRDefault="006131A4" w:rsidP="00B34A3A">
      <w:pPr>
        <w:pStyle w:val="Listaszerbekezds"/>
        <w:numPr>
          <w:ilvl w:val="2"/>
          <w:numId w:val="10"/>
        </w:numPr>
        <w:ind w:left="720"/>
      </w:pPr>
      <w:r w:rsidRPr="00B34A3A">
        <w:t>Mentes településen évente a kislétszámú állományokban tartott valamennyi tenyészkan és a kocák 95%-os megbízhatóság és 2%-os előfordulási arány figyelembevételével meghatározott számú egyedét egyidejűleg úgy kell megvizsgálni, hogy a településen legalább 95%-os megbízhatóság és 10%-os előfordulási arány figyelembevételével meghatározott számú állományában történjen mintavétel.</w:t>
      </w:r>
    </w:p>
    <w:p w:rsidR="006131A4" w:rsidRPr="00B34A3A" w:rsidRDefault="006131A4" w:rsidP="00B34A3A">
      <w:pPr>
        <w:pStyle w:val="Listaszerbekezds"/>
        <w:numPr>
          <w:ilvl w:val="2"/>
          <w:numId w:val="10"/>
        </w:numPr>
        <w:ind w:left="720"/>
      </w:pPr>
      <w:r w:rsidRPr="00B34A3A">
        <w:t>Mentes megyében évente a településeken található, kislétszámú állományokban tartott sertések 95%-os megbízhatóság és 10%-os előfordulási arány figyelembevételével meghatározott számú egyedét kell vizsgálni</w:t>
      </w:r>
      <w:r w:rsidRPr="00B34A3A">
        <w:rPr>
          <w:rFonts w:eastAsia="Calibri"/>
        </w:rPr>
        <w:t>.</w:t>
      </w:r>
    </w:p>
    <w:p w:rsidR="00E3730F" w:rsidRPr="00B34A3A" w:rsidRDefault="00E3730F" w:rsidP="00B34A3A">
      <w:pPr>
        <w:rPr>
          <w:rFonts w:eastAsia="Calibri"/>
        </w:rPr>
      </w:pPr>
    </w:p>
    <w:p w:rsidR="00BC0978" w:rsidRPr="00BC0978" w:rsidRDefault="008C6EEA" w:rsidP="00BC0978">
      <w:pPr>
        <w:rPr>
          <w:b/>
          <w:iCs/>
          <w:sz w:val="26"/>
          <w:szCs w:val="26"/>
        </w:rPr>
      </w:pPr>
      <w:r w:rsidRPr="00BC0978">
        <w:rPr>
          <w:b/>
          <w:iCs/>
          <w:sz w:val="26"/>
          <w:szCs w:val="26"/>
        </w:rPr>
        <w:t xml:space="preserve"> </w:t>
      </w:r>
    </w:p>
    <w:p w:rsidR="00E3730F" w:rsidRPr="00B34A3A" w:rsidRDefault="00E3730F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B34A3A">
        <w:rPr>
          <w:b/>
          <w:iCs/>
          <w:sz w:val="26"/>
          <w:szCs w:val="26"/>
        </w:rPr>
        <w:lastRenderedPageBreak/>
        <w:t xml:space="preserve">A </w:t>
      </w:r>
      <w:proofErr w:type="gramStart"/>
      <w:r w:rsidRPr="00B34A3A">
        <w:rPr>
          <w:b/>
          <w:iCs/>
          <w:sz w:val="26"/>
          <w:szCs w:val="26"/>
        </w:rPr>
        <w:t>mentesítés</w:t>
      </w:r>
      <w:proofErr w:type="gramEnd"/>
      <w:r w:rsidRPr="00B34A3A">
        <w:rPr>
          <w:b/>
          <w:iCs/>
          <w:sz w:val="26"/>
          <w:szCs w:val="26"/>
        </w:rPr>
        <w:t xml:space="preserve"> módszerei</w:t>
      </w:r>
    </w:p>
    <w:p w:rsidR="00E3730F" w:rsidRPr="00B34A3A" w:rsidRDefault="00E3730F" w:rsidP="00B34A3A">
      <w:pPr>
        <w:rPr>
          <w:i/>
        </w:rPr>
      </w:pPr>
    </w:p>
    <w:p w:rsidR="006B7FCC" w:rsidRPr="00B34A3A" w:rsidRDefault="00E3730F" w:rsidP="00B34A3A">
      <w:r w:rsidRPr="00B34A3A">
        <w:t>Tenyész- és utódállományok esetében a mentesítés az alábbi három módszer szerint történhet:</w:t>
      </w:r>
    </w:p>
    <w:p w:rsidR="00E3730F" w:rsidRPr="00B34A3A" w:rsidRDefault="006B7FCC" w:rsidP="00B34A3A">
      <w:pPr>
        <w:pStyle w:val="Listaszerbekezds"/>
        <w:numPr>
          <w:ilvl w:val="1"/>
          <w:numId w:val="10"/>
        </w:numPr>
      </w:pPr>
      <w:r w:rsidRPr="00B34A3A">
        <w:t xml:space="preserve"> </w:t>
      </w:r>
      <w:r w:rsidR="00E3730F" w:rsidRPr="00B34A3A">
        <w:t xml:space="preserve">Teljes állománycsere </w:t>
      </w:r>
    </w:p>
    <w:p w:rsidR="006B7FCC" w:rsidRPr="00B34A3A" w:rsidRDefault="006B7FCC" w:rsidP="00B34A3A">
      <w:pPr>
        <w:pStyle w:val="Listaszerbekezds"/>
        <w:numPr>
          <w:ilvl w:val="1"/>
          <w:numId w:val="10"/>
        </w:numPr>
      </w:pPr>
      <w:r w:rsidRPr="00B34A3A">
        <w:t xml:space="preserve"> </w:t>
      </w:r>
      <w:r w:rsidR="00E3730F" w:rsidRPr="00B34A3A">
        <w:t>Forgalmi korlátozás, állomány fokozatos cseréje (roll over)</w:t>
      </w:r>
    </w:p>
    <w:p w:rsidR="00E3730F" w:rsidRPr="00B34A3A" w:rsidRDefault="006B7FCC" w:rsidP="00B34A3A">
      <w:pPr>
        <w:pStyle w:val="Listaszerbekezds"/>
        <w:numPr>
          <w:ilvl w:val="1"/>
          <w:numId w:val="10"/>
        </w:numPr>
      </w:pPr>
      <w:r w:rsidRPr="00B34A3A">
        <w:t xml:space="preserve"> </w:t>
      </w:r>
      <w:r w:rsidR="00E3730F" w:rsidRPr="00B34A3A">
        <w:t>Szelekciós mentesítés (test and removal)</w:t>
      </w:r>
    </w:p>
    <w:p w:rsidR="00E3730F" w:rsidRPr="00B34A3A" w:rsidRDefault="00E3730F" w:rsidP="00B34A3A"/>
    <w:p w:rsidR="006B7FCC" w:rsidRPr="00B34A3A" w:rsidRDefault="002C3C29" w:rsidP="00B34A3A">
      <w:pPr>
        <w:rPr>
          <w:i/>
        </w:rPr>
      </w:pPr>
      <w:r w:rsidRPr="002C3C29">
        <w:rPr>
          <w:b/>
          <w:i/>
        </w:rPr>
        <w:t>8</w:t>
      </w:r>
      <w:r w:rsidR="006B7FCC" w:rsidRPr="00B34A3A">
        <w:rPr>
          <w:i/>
        </w:rPr>
        <w:t>.1.</w:t>
      </w:r>
      <w:r w:rsidR="00E3730F" w:rsidRPr="00B34A3A">
        <w:rPr>
          <w:i/>
        </w:rPr>
        <w:t xml:space="preserve"> </w:t>
      </w:r>
    </w:p>
    <w:p w:rsidR="00E3730F" w:rsidRPr="00B34A3A" w:rsidRDefault="00E3730F" w:rsidP="00B34A3A">
      <w:pPr>
        <w:rPr>
          <w:i/>
        </w:rPr>
      </w:pPr>
      <w:r w:rsidRPr="00B34A3A">
        <w:t xml:space="preserve">A </w:t>
      </w:r>
      <w:r w:rsidRPr="00B34A3A">
        <w:rPr>
          <w:i/>
          <w:iCs/>
        </w:rPr>
        <w:t>teljes állománycsere</w:t>
      </w:r>
      <w:r w:rsidRPr="00B34A3A">
        <w:t xml:space="preserve"> a három módszer között a legköltségesebb, azonban hazánkban ez a leginkább járható út a</w:t>
      </w:r>
      <w:r w:rsidR="003E3ECC" w:rsidRPr="00B34A3A">
        <w:t>z alacsony</w:t>
      </w:r>
      <w:r w:rsidRPr="00B34A3A">
        <w:t xml:space="preserve"> országos szintű szeropozitivitás valamint a tenyésztést és hizlalást azonos állattartó telepen folytató (farrow to finish) állományok dominanciája miatt. Az újrafertőződés veszélye a három módszer közül az állománycserénél a legkisebb. A mentesítés menete során a fertőzött állományok eltávolítását alapos tisztítás, fertőtlenítés követi, valamint a szükséges javítások elvégzését követő szigorított fertőtlenítés után a telep mentes állománnyal betelepíthető. Az </w:t>
      </w:r>
      <w:r w:rsidR="00DD3203" w:rsidRPr="00B34A3A">
        <w:t xml:space="preserve">újratelepített </w:t>
      </w:r>
      <w:r w:rsidRPr="00B34A3A">
        <w:t>állomány</w:t>
      </w:r>
      <w:r w:rsidR="00DD3203" w:rsidRPr="00B34A3A">
        <w:t>t a rendelet 22.§-a szerint kell minősíteni és a mentességét ellenőrizni.</w:t>
      </w:r>
    </w:p>
    <w:p w:rsidR="00E3730F" w:rsidRPr="00B34A3A" w:rsidRDefault="00E3730F" w:rsidP="00B34A3A"/>
    <w:p w:rsidR="006B7FCC" w:rsidRPr="00B34A3A" w:rsidRDefault="002C3C29" w:rsidP="00B34A3A">
      <w:pPr>
        <w:rPr>
          <w:i/>
        </w:rPr>
      </w:pPr>
      <w:r w:rsidRPr="002C3C29">
        <w:rPr>
          <w:i/>
        </w:rPr>
        <w:t>8</w:t>
      </w:r>
      <w:r w:rsidR="00E3730F" w:rsidRPr="00B34A3A">
        <w:rPr>
          <w:i/>
        </w:rPr>
        <w:t xml:space="preserve">.2. </w:t>
      </w:r>
    </w:p>
    <w:p w:rsidR="00E3730F" w:rsidRPr="00B34A3A" w:rsidRDefault="00E3730F" w:rsidP="00B34A3A">
      <w:r w:rsidRPr="00B34A3A">
        <w:rPr>
          <w:i/>
        </w:rPr>
        <w:t>F</w:t>
      </w:r>
      <w:r w:rsidRPr="00B34A3A">
        <w:rPr>
          <w:i/>
          <w:iCs/>
        </w:rPr>
        <w:t>orgalmi korlátozás, állomány fokozatos cseréje (roll over)</w:t>
      </w:r>
      <w:r w:rsidRPr="00B34A3A">
        <w:t xml:space="preserve"> az USA-ban a leggyakrabban alkalmazott mentesítési módszer, Európában az újrafertőződés kockázata miatt alkalmazása ritkább. A módszer hatékonyan alkalmazható 1000 kocánál kisebb állományoknál, ha a telepen csupán egy PRRS vírustörzs fordul elő. Farrow to finish telepek esetén a program végrehajtása lényegesen nehezebb, mint elkülönített termelési egységekkel rendelkező (multi site) farmokon. </w:t>
      </w:r>
    </w:p>
    <w:p w:rsidR="00E3730F" w:rsidRPr="00B34A3A" w:rsidRDefault="00E3730F" w:rsidP="00B34A3A">
      <w:r w:rsidRPr="00B34A3A">
        <w:t>A mentesítés során a homogén immunállapot elérése érdekében a tenyészállomány vakcinázása szükséges</w:t>
      </w:r>
      <w:r w:rsidR="00AC5DD8" w:rsidRPr="00B34A3A">
        <w:t xml:space="preserve"> lehet, amelyet a rendelet 23.§-a szerint a mentes, vagy mentesítés alatt álló területeken, és az ezeket övező 15 km-es zónában az országos főállatorvosnak engedélyeznie kell</w:t>
      </w:r>
      <w:r w:rsidRPr="00B34A3A">
        <w:t xml:space="preserve">. Az áthangolódás ellenőrzése céljából szerológiai vizsgálat elvégzése indokolt. A vakcinázás után a tenyészállományt zárt állományként kezeljük, hat hónapig új kocasüldők beállítása tilos. A hat hónap alatt telepen kívüli tenyész-kocasüldő nevelés indokolt, amelyhez puffer telep szükséges. A hat hónap letelte után állíthatók be negatív kocasüldők az állományba, melyek jelző (sentinel) egyedekként jelzik, hogy a vírus cirkuláció megszűnt-e az állományban. Az áthangolódás kizárásának ellenőrzése céljából szerológiai vizsgálat elvégzése indokolt. A következő lépésben kerül sor a fertőzött utónevelő kiürítésére. A növendék állatok vagy </w:t>
      </w:r>
      <w:r w:rsidR="003C6F61" w:rsidRPr="00B34A3A">
        <w:t xml:space="preserve">vágóhídi </w:t>
      </w:r>
      <w:r w:rsidRPr="00B34A3A">
        <w:t>értékesítésre kerülnek, vagy puffer telepeken továbbtarthatók. Az utónevelő alapos tisztítása és fertőtlenítése megegyezik az állománycserénél leírtakkal. Az újonnan betelepített választási korú malacok PCR vizsgálata kötelező. A mentesíté</w:t>
      </w:r>
      <w:r w:rsidR="003C6F61" w:rsidRPr="00B34A3A">
        <w:t xml:space="preserve">s végső lépéseként vakcinázott, </w:t>
      </w:r>
      <w:r w:rsidRPr="00B34A3A">
        <w:t xml:space="preserve">szeropozitív kocák folyamatos, program szerinti selejtezésre kerülnek. A telep akkor tekinthető mentesnek, ha az utolsó vakcinázott, szeropozitív </w:t>
      </w:r>
      <w:r w:rsidR="003C6F61" w:rsidRPr="00B34A3A">
        <w:t>koca selejtezésre</w:t>
      </w:r>
      <w:r w:rsidRPr="00B34A3A">
        <w:t xml:space="preserve"> került. Az állomány menteségének igazolása érdekében rendszeres szerológiai és indokolt esetben PCR vizsgálatokat kell végezni.</w:t>
      </w:r>
    </w:p>
    <w:p w:rsidR="00B5068F" w:rsidRPr="00B34A3A" w:rsidRDefault="00B5068F" w:rsidP="00B34A3A"/>
    <w:p w:rsidR="006B7FCC" w:rsidRPr="00B34A3A" w:rsidRDefault="002C3C29" w:rsidP="00B34A3A">
      <w:pPr>
        <w:rPr>
          <w:i/>
        </w:rPr>
      </w:pPr>
      <w:r w:rsidRPr="002C3C29">
        <w:rPr>
          <w:b/>
          <w:i/>
        </w:rPr>
        <w:t>8</w:t>
      </w:r>
      <w:r w:rsidR="00E3730F" w:rsidRPr="00B34A3A">
        <w:rPr>
          <w:i/>
        </w:rPr>
        <w:t xml:space="preserve">.3. </w:t>
      </w:r>
    </w:p>
    <w:p w:rsidR="00E3730F" w:rsidRPr="00B34A3A" w:rsidRDefault="00E3730F" w:rsidP="00B34A3A">
      <w:r w:rsidRPr="00B34A3A">
        <w:t xml:space="preserve">A </w:t>
      </w:r>
      <w:r w:rsidRPr="00B34A3A">
        <w:rPr>
          <w:i/>
          <w:iCs/>
        </w:rPr>
        <w:t>szelekciós mentesítés</w:t>
      </w:r>
      <w:r w:rsidRPr="00B34A3A">
        <w:t xml:space="preserve"> rendkívül költségigényes, és csak olyan tenyész</w:t>
      </w:r>
      <w:r w:rsidR="006B7FCC" w:rsidRPr="00B34A3A">
        <w:t>állo</w:t>
      </w:r>
      <w:r w:rsidRPr="00B34A3A">
        <w:t xml:space="preserve">mányok esetében lehet alkalmazni, ahol egy éven belül nem fordult elő klinikai PRRS, a szeropozitivitás 25% alatt mozog, valamint két éven belül nem történt vakcinázás. </w:t>
      </w:r>
    </w:p>
    <w:p w:rsidR="00E3730F" w:rsidRPr="00B34A3A" w:rsidRDefault="00E3730F" w:rsidP="00B34A3A">
      <w:r w:rsidRPr="00B34A3A">
        <w:t xml:space="preserve">A mentesítés minden egyed PCR és ELISA vizsgálatával kezdődik, a </w:t>
      </w:r>
      <w:r w:rsidR="008D677D" w:rsidRPr="00B34A3A">
        <w:t xml:space="preserve">bármely vizsgálatban </w:t>
      </w:r>
      <w:r w:rsidRPr="00B34A3A">
        <w:t xml:space="preserve">pozitívak selejtezésre kerülnek. A kiesett tenyészállatok PRRS negatív süldők beállításával pótolhatók. A következő egy évben rendszeres szerológiai vizsgálatokra, valamint a kanok PCR vizsgálatára kerül sor. </w:t>
      </w:r>
    </w:p>
    <w:p w:rsidR="00E3730F" w:rsidRPr="00B34A3A" w:rsidRDefault="00E3730F" w:rsidP="00B34A3A">
      <w:r w:rsidRPr="00B34A3A">
        <w:lastRenderedPageBreak/>
        <w:t>Az állomány akkor tekinthető mentesnek, ha az újonnan beállított kocasüldők szeronegatívak maradnak egy év letelte után.</w:t>
      </w:r>
    </w:p>
    <w:p w:rsidR="008D22BA" w:rsidRPr="00B34A3A" w:rsidRDefault="008D22BA" w:rsidP="00B34A3A"/>
    <w:p w:rsidR="004923DD" w:rsidRPr="00B34A3A" w:rsidRDefault="004923DD" w:rsidP="00B34A3A">
      <w:pPr>
        <w:rPr>
          <w:i/>
        </w:rPr>
      </w:pPr>
      <w:r w:rsidRPr="00B34A3A">
        <w:rPr>
          <w:i/>
        </w:rPr>
        <w:t xml:space="preserve">Megjegyzés a mentesítés módszereihez </w:t>
      </w:r>
    </w:p>
    <w:p w:rsidR="00E3730F" w:rsidRPr="00B34A3A" w:rsidRDefault="00E3730F" w:rsidP="00B34A3A">
      <w:r w:rsidRPr="00B34A3A">
        <w:t>A mentesítés alá nem vont területeken, a mentesítési program elfogadását követően csak a PRRS Nemzeti Mentesítési Bizottság szakmai véle</w:t>
      </w:r>
      <w:r w:rsidR="00D21D37" w:rsidRPr="00B34A3A">
        <w:t>mén</w:t>
      </w:r>
      <w:r w:rsidRPr="00B34A3A">
        <w:t>y</w:t>
      </w:r>
      <w:r w:rsidR="00D21D37" w:rsidRPr="00B34A3A">
        <w:t>ezése után</w:t>
      </w:r>
      <w:r w:rsidRPr="00B34A3A">
        <w:t xml:space="preserve">, a megyei ÉBÁI előzetes jóváhagyásával a magas vírusszaporodás csökkentésére a telepen </w:t>
      </w:r>
      <w:r w:rsidRPr="00B34A3A">
        <w:rPr>
          <w:i/>
          <w:iCs/>
        </w:rPr>
        <w:t>állományszintű vakcinázás és egyirányú állatforgalom</w:t>
      </w:r>
      <w:r w:rsidRPr="00B34A3A">
        <w:t xml:space="preserve"> alkalmazható. Ez esetben a klinikai tüneteket mutató tenyész- és utódállomány vakcinázásra kerül. Az utódállomány vakcinázása a klinikai tünetek és termelési mutatók függvénye, optimális esetben elegendő a megfelelően betartatott járványvédelmi szabályok alkalmazása. </w:t>
      </w:r>
    </w:p>
    <w:p w:rsidR="00E3730F" w:rsidRPr="00B34A3A" w:rsidRDefault="00E3730F" w:rsidP="00B34A3A">
      <w:pPr>
        <w:rPr>
          <w:i/>
        </w:rPr>
      </w:pPr>
    </w:p>
    <w:p w:rsidR="00000CAE" w:rsidRDefault="00000CAE" w:rsidP="00000CAE">
      <w:pPr>
        <w:pStyle w:val="Listaszerbekezds"/>
        <w:ind w:left="0"/>
        <w:rPr>
          <w:b/>
          <w:iCs/>
          <w:sz w:val="26"/>
          <w:szCs w:val="26"/>
        </w:rPr>
      </w:pPr>
    </w:p>
    <w:p w:rsidR="00B34A3A" w:rsidRPr="00B34A3A" w:rsidRDefault="00E3730F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B34A3A">
        <w:rPr>
          <w:b/>
          <w:iCs/>
          <w:sz w:val="26"/>
          <w:szCs w:val="26"/>
        </w:rPr>
        <w:t>Állatmozgás</w:t>
      </w:r>
    </w:p>
    <w:p w:rsidR="00B34A3A" w:rsidRPr="00B34A3A" w:rsidRDefault="00B34A3A" w:rsidP="00B34A3A">
      <w:pPr>
        <w:rPr>
          <w:iCs/>
          <w:sz w:val="26"/>
          <w:szCs w:val="26"/>
        </w:rPr>
      </w:pPr>
    </w:p>
    <w:p w:rsidR="00D21D37" w:rsidRPr="00B34A3A" w:rsidRDefault="00D21D37" w:rsidP="00B34A3A">
      <w:pPr>
        <w:pStyle w:val="Listaszerbekezds"/>
        <w:numPr>
          <w:ilvl w:val="1"/>
          <w:numId w:val="10"/>
        </w:numPr>
        <w:ind w:left="567" w:hanging="357"/>
        <w:rPr>
          <w:iCs/>
          <w:sz w:val="26"/>
          <w:szCs w:val="26"/>
        </w:rPr>
      </w:pPr>
      <w:r w:rsidRPr="00B34A3A">
        <w:t>Az állatforgalmazás, állatmozgatás Magyarországon:</w:t>
      </w:r>
    </w:p>
    <w:p w:rsidR="004923DD" w:rsidRPr="00B34A3A" w:rsidRDefault="004923DD" w:rsidP="00B34A3A">
      <w:pPr>
        <w:pStyle w:val="Listaszerbekezds"/>
        <w:ind w:left="720"/>
      </w:pPr>
    </w:p>
    <w:p w:rsidR="00332212" w:rsidRPr="00332212" w:rsidRDefault="00D21D37" w:rsidP="00B34A3A">
      <w:pPr>
        <w:pStyle w:val="Listaszerbekezds"/>
        <w:numPr>
          <w:ilvl w:val="2"/>
          <w:numId w:val="10"/>
        </w:numPr>
        <w:ind w:left="720"/>
      </w:pPr>
      <w:proofErr w:type="gramStart"/>
      <w:r w:rsidRPr="00332212">
        <w:t>Mentes</w:t>
      </w:r>
      <w:proofErr w:type="gramEnd"/>
      <w:r w:rsidRPr="00332212">
        <w:t xml:space="preserve"> nagylétszámú állományba</w:t>
      </w:r>
      <w:r w:rsidR="00FD6AC3" w:rsidRPr="00332212">
        <w:t xml:space="preserve"> és mesterséges termékenyítő állomásra </w:t>
      </w:r>
      <w:r w:rsidR="002C3B3B" w:rsidRPr="00332212">
        <w:t>(</w:t>
      </w:r>
      <w:r w:rsidR="00FD6AC3" w:rsidRPr="00332212">
        <w:t>létszámtól függetlenül</w:t>
      </w:r>
      <w:r w:rsidR="002C3B3B" w:rsidRPr="00332212">
        <w:t>)</w:t>
      </w:r>
      <w:r w:rsidR="00332212" w:rsidRPr="00332212">
        <w:t>:</w:t>
      </w:r>
      <w:r w:rsidRPr="00332212">
        <w:t xml:space="preserve"> </w:t>
      </w:r>
    </w:p>
    <w:p w:rsidR="00332212" w:rsidRDefault="008C10E6" w:rsidP="00332212">
      <w:pPr>
        <w:pStyle w:val="Listaszerbekezds"/>
        <w:numPr>
          <w:ilvl w:val="0"/>
          <w:numId w:val="36"/>
        </w:numPr>
      </w:pPr>
      <w:proofErr w:type="spellStart"/>
      <w:r>
        <w:t>tenyész</w:t>
      </w:r>
      <w:r w:rsidR="00D21D37" w:rsidRPr="00B34A3A">
        <w:t>sertést</w:t>
      </w:r>
      <w:proofErr w:type="spellEnd"/>
      <w:r w:rsidR="00D21D37" w:rsidRPr="00B34A3A">
        <w:t xml:space="preserve"> bevinni csak </w:t>
      </w:r>
      <w:proofErr w:type="gramStart"/>
      <w:r w:rsidR="00D21D37" w:rsidRPr="00B34A3A">
        <w:t>mentes</w:t>
      </w:r>
      <w:proofErr w:type="gramEnd"/>
      <w:r w:rsidR="00D21D37" w:rsidRPr="00B34A3A">
        <w:t xml:space="preserve"> állományból szabad, és az állatokat hatvan napig karanténozni szükséges. A karanténozás ideje alatt minden kanból, tenyészkocából és tenyészkocasüldőből</w:t>
      </w:r>
      <w:r w:rsidR="00590EEB" w:rsidRPr="00B34A3A">
        <w:t xml:space="preserve"> </w:t>
      </w:r>
      <w:r w:rsidR="00D21D37" w:rsidRPr="00B34A3A">
        <w:t xml:space="preserve">szerológiai vizsgálat céljára vért kell venni. Tenyészkanok esetében az ondó egyedi PCR vizsgálatát is el kell végezni. </w:t>
      </w:r>
      <w:r w:rsidR="00712FCC" w:rsidRPr="00B34A3A">
        <w:t xml:space="preserve">Ondóvételre még alkalmatlan, fiatal kanok esetében az NRL ajánlása alapján kell megerősítő vizsgálatot végezni a karantén feloldása előtt, az ondó vizsgálatát pedig a kan tenyésztésbe való beállítása előtt. </w:t>
      </w:r>
    </w:p>
    <w:p w:rsidR="00332212" w:rsidRDefault="00332212" w:rsidP="00332212">
      <w:pPr>
        <w:pStyle w:val="Listaszerbekezds"/>
        <w:numPr>
          <w:ilvl w:val="0"/>
          <w:numId w:val="36"/>
        </w:numPr>
      </w:pPr>
      <w:r>
        <w:t xml:space="preserve"> h</w:t>
      </w:r>
      <w:r w:rsidR="008C10E6">
        <w:t xml:space="preserve">ízóállatok beszállítása szintén csak mentes állományból történhet. Ez esetben </w:t>
      </w:r>
      <w:r w:rsidR="008C10E6" w:rsidRPr="003958A6">
        <w:t xml:space="preserve">a hatvan napos elkülönítés ideje alatt </w:t>
      </w:r>
      <w:r w:rsidR="000229D7" w:rsidRPr="000229D7">
        <w:t xml:space="preserve"> az állományból szerológiai vizsgálat céljára </w:t>
      </w:r>
      <w:r w:rsidR="003958A6">
        <w:t xml:space="preserve">légterenként </w:t>
      </w:r>
      <w:r w:rsidR="000229D7" w:rsidRPr="000229D7">
        <w:t>95%-os biztonság és 10%-os előfordulás figyelembevételével vért kell venni.</w:t>
      </w:r>
      <w:r w:rsidR="008C10E6">
        <w:t xml:space="preserve"> </w:t>
      </w:r>
    </w:p>
    <w:p w:rsidR="00D21D37" w:rsidRPr="00B34A3A" w:rsidRDefault="000229D7" w:rsidP="00332212">
      <w:pPr>
        <w:pStyle w:val="Listaszerbekezds"/>
        <w:ind w:left="216"/>
      </w:pPr>
      <w:r w:rsidRPr="000229D7">
        <w:t>Az állatokat az új állományba beállítani csak az előbbi vizsgálatok negatív eredménye esetén szabad.</w:t>
      </w:r>
      <w:r w:rsidR="00592C00" w:rsidRPr="00B34A3A">
        <w:t xml:space="preserve"> </w:t>
      </w:r>
      <w:r w:rsidR="003958A6">
        <w:t>Amennyiben</w:t>
      </w:r>
      <w:r w:rsidR="00592C00" w:rsidRPr="00B34A3A">
        <w:t xml:space="preserve"> a tartó mentes állományából saját másik mentes telepére szállítja az állatokat</w:t>
      </w:r>
      <w:r w:rsidR="003958A6">
        <w:t>, az ÉBÁI az erre irányuló kérelem alapján</w:t>
      </w:r>
      <w:r w:rsidR="00592C00" w:rsidRPr="00B34A3A">
        <w:t xml:space="preserve"> a célállományban a karanténozás és diagnosztikai vizsgálatok</w:t>
      </w:r>
      <w:r w:rsidR="003958A6">
        <w:t xml:space="preserve"> elvégzése alól</w:t>
      </w:r>
      <w:r w:rsidR="008C10E6">
        <w:t xml:space="preserve"> </w:t>
      </w:r>
      <w:r w:rsidRPr="000229D7">
        <w:t>mind</w:t>
      </w:r>
      <w:r w:rsidR="008C10E6" w:rsidRPr="00C9669E">
        <w:t xml:space="preserve"> tenyész, </w:t>
      </w:r>
      <w:r w:rsidRPr="000229D7">
        <w:t>mind</w:t>
      </w:r>
      <w:r w:rsidR="008C10E6" w:rsidRPr="00C9669E">
        <w:t xml:space="preserve"> hízóállatok esetében</w:t>
      </w:r>
      <w:r w:rsidR="00592C00" w:rsidRPr="00B34A3A">
        <w:t xml:space="preserve"> </w:t>
      </w:r>
      <w:r w:rsidR="003958A6">
        <w:t>felmentést adhat</w:t>
      </w:r>
      <w:r w:rsidR="00592C00" w:rsidRPr="00B34A3A">
        <w:t xml:space="preserve">. </w:t>
      </w:r>
    </w:p>
    <w:p w:rsidR="00D21D37" w:rsidRPr="00B34A3A" w:rsidRDefault="003E3ECC" w:rsidP="00B34A3A">
      <w:pPr>
        <w:pStyle w:val="Listaszerbekezds"/>
        <w:numPr>
          <w:ilvl w:val="2"/>
          <w:numId w:val="10"/>
        </w:numPr>
        <w:ind w:left="720"/>
      </w:pPr>
      <w:r w:rsidRPr="00B34A3A">
        <w:t>Mentes</w:t>
      </w:r>
      <w:r w:rsidR="00332212">
        <w:t xml:space="preserve"> és mentesítés alatt álló</w:t>
      </w:r>
      <w:r w:rsidRPr="00B34A3A">
        <w:t xml:space="preserve"> megyék/régiók területén lévő p</w:t>
      </w:r>
      <w:r w:rsidR="00D21D37" w:rsidRPr="00B34A3A">
        <w:t xml:space="preserve">iacra, vásárra, valamint </w:t>
      </w:r>
      <w:r w:rsidR="00B40928">
        <w:t>mentes</w:t>
      </w:r>
      <w:r w:rsidR="00332212">
        <w:t xml:space="preserve"> </w:t>
      </w:r>
      <w:r w:rsidR="00B40928">
        <w:t xml:space="preserve">területre </w:t>
      </w:r>
      <w:r w:rsidR="00D21D37" w:rsidRPr="00B34A3A">
        <w:t>továbbtartási célra csak mentes településekről</w:t>
      </w:r>
      <w:r w:rsidR="00590EEB" w:rsidRPr="00B34A3A">
        <w:t xml:space="preserve"> </w:t>
      </w:r>
      <w:r w:rsidR="00D21D37" w:rsidRPr="00B34A3A">
        <w:t xml:space="preserve">vagy mentes nagylétszámú állományból származó sertéseket szabad kiszállítani. </w:t>
      </w:r>
    </w:p>
    <w:p w:rsidR="00CC5829" w:rsidRPr="00B34A3A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t>Gyűjtőállomásra egyidőben csak azonos PRRS-státuszú állományok</w:t>
      </w:r>
      <w:r w:rsidR="00590EEB" w:rsidRPr="00B34A3A">
        <w:t xml:space="preserve">ból származó állatok </w:t>
      </w:r>
      <w:r w:rsidRPr="00B34A3A">
        <w:t>szállíthatók be.</w:t>
      </w:r>
    </w:p>
    <w:p w:rsidR="00CC5829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t>Mentes állományba</w:t>
      </w:r>
      <w:r w:rsidR="00DC0832">
        <w:t xml:space="preserve"> és mentesítés alatt álló területen lévő állományokba (PRRS státusztól függetlenül)</w:t>
      </w:r>
      <w:r w:rsidRPr="00B34A3A">
        <w:t xml:space="preserve"> szaporítóanyagot (spermát és embriót) bevinni csak engedélyezett mesterséges termékenyítő és embrió átültető állomásról szabad.</w:t>
      </w:r>
    </w:p>
    <w:p w:rsidR="00C9669E" w:rsidRPr="002418C0" w:rsidRDefault="00C9669E" w:rsidP="00B34A3A">
      <w:pPr>
        <w:pStyle w:val="Listaszerbekezds"/>
        <w:numPr>
          <w:ilvl w:val="2"/>
          <w:numId w:val="10"/>
        </w:numPr>
        <w:ind w:left="720"/>
        <w:rPr>
          <w:u w:val="single"/>
        </w:rPr>
      </w:pPr>
      <w:r w:rsidRPr="00B34A3A">
        <w:t>Fertőzött állományból sertés csak az állomány felszámolása keretében vágásra szállítható ki, kivéve ha a szállítás véghízlalási céllal történik a tulajdonos saját telepére vagy a tenyészteleppel szerződésben álló partner telepére. A folyamatot a származási és a célállomány PRRS státuszának figyelembevételével kell a megyei Intézkedési tervben szabályozni. Ezeket a sertéseket a telepről kizárólag vágóhídra lehet szállítani</w:t>
      </w:r>
      <w:r w:rsidR="005F4028">
        <w:t>.</w:t>
      </w:r>
      <w:r w:rsidR="00F409FD">
        <w:t xml:space="preserve"> </w:t>
      </w:r>
      <w:r w:rsidR="00F409FD" w:rsidRPr="002418C0">
        <w:rPr>
          <w:u w:val="single"/>
        </w:rPr>
        <w:t>Fertőzött telepről ettől eltérő céllal malacokat/selejt malacokat kihelyezni tilos!</w:t>
      </w:r>
    </w:p>
    <w:p w:rsidR="00CC5829" w:rsidRPr="00B34A3A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lastRenderedPageBreak/>
        <w:t>Mentes</w:t>
      </w:r>
      <w:r w:rsidR="00F249B2" w:rsidRPr="00B34A3A">
        <w:t xml:space="preserve"> </w:t>
      </w:r>
      <w:r w:rsidRPr="00B34A3A">
        <w:t>terület</w:t>
      </w:r>
      <w:r w:rsidR="00380A26" w:rsidRPr="00B34A3A">
        <w:t>re, annak</w:t>
      </w:r>
      <w:r w:rsidRPr="00B34A3A">
        <w:t xml:space="preserve"> földrajzi határa mentén lévő 15 km-es sávon belülre,</w:t>
      </w:r>
      <w:r w:rsidR="00DB6FB7" w:rsidRPr="00B34A3A">
        <w:t xml:space="preserve"> </w:t>
      </w:r>
      <w:r w:rsidRPr="00B34A3A">
        <w:t>valamint mentes</w:t>
      </w:r>
      <w:r w:rsidR="00F249B2" w:rsidRPr="00B34A3A">
        <w:t>ítés alá vont területen a mentes</w:t>
      </w:r>
      <w:r w:rsidRPr="00B34A3A">
        <w:t xml:space="preserve"> nagylétszámú állomány köré vont 15 km-es sugarú körön belülre fertőzött állományból származó sertés </w:t>
      </w:r>
      <w:r w:rsidR="0068141B">
        <w:t>kizárólag azonnali vágás céljából vágóhídra</w:t>
      </w:r>
      <w:r w:rsidR="0068141B" w:rsidRPr="00B34A3A">
        <w:t xml:space="preserve"> </w:t>
      </w:r>
      <w:r w:rsidRPr="00B34A3A">
        <w:t>szállítható be.</w:t>
      </w:r>
    </w:p>
    <w:p w:rsidR="00D21D37" w:rsidRPr="00B34A3A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t xml:space="preserve">Mentesítés alá vont területre be-, illetve onnan kiszállítani </w:t>
      </w:r>
      <w:r w:rsidR="0012695B" w:rsidRPr="00B34A3A">
        <w:t xml:space="preserve">nagylétszámú állományból származó </w:t>
      </w:r>
      <w:r w:rsidRPr="00B34A3A">
        <w:t>sertést csak a</w:t>
      </w:r>
      <w:r w:rsidR="0012695B" w:rsidRPr="00B34A3A">
        <w:t xml:space="preserve"> </w:t>
      </w:r>
      <w:r w:rsidRPr="00B34A3A">
        <w:t>NÉBIH által meghatározott feltételekkel,</w:t>
      </w:r>
      <w:r w:rsidR="0066463F" w:rsidRPr="00B34A3A">
        <w:t xml:space="preserve"> </w:t>
      </w:r>
      <w:r w:rsidRPr="00B34A3A">
        <w:t>az élelmiszerlánc-biztonsági és állategészségügyi igazgatóság engedélyével lehet.</w:t>
      </w:r>
    </w:p>
    <w:p w:rsidR="0066463F" w:rsidRPr="00B34A3A" w:rsidRDefault="0066463F" w:rsidP="00B34A3A"/>
    <w:p w:rsidR="002418C0" w:rsidRPr="002418C0" w:rsidRDefault="002418C0" w:rsidP="002418C0">
      <w:pPr>
        <w:ind w:left="360"/>
        <w:rPr>
          <w:i/>
        </w:rPr>
      </w:pPr>
    </w:p>
    <w:p w:rsidR="00D21D37" w:rsidRPr="00B34A3A" w:rsidRDefault="00CC5829" w:rsidP="00B34A3A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 xml:space="preserve"> </w:t>
      </w:r>
      <w:r w:rsidR="00D21D37" w:rsidRPr="00B34A3A">
        <w:rPr>
          <w:i/>
        </w:rPr>
        <w:t>Sertés beszállítása az Európai Unió más tagállamából</w:t>
      </w:r>
    </w:p>
    <w:p w:rsidR="00CC5829" w:rsidRPr="00B34A3A" w:rsidRDefault="00CC5829" w:rsidP="00B34A3A">
      <w:pPr>
        <w:pStyle w:val="Listaszerbekezds"/>
        <w:ind w:left="720"/>
      </w:pPr>
    </w:p>
    <w:p w:rsidR="00D21D37" w:rsidRPr="00B34A3A" w:rsidRDefault="0066463F" w:rsidP="00B34A3A">
      <w:pPr>
        <w:pStyle w:val="Listaszerbekezds"/>
        <w:numPr>
          <w:ilvl w:val="2"/>
          <w:numId w:val="10"/>
        </w:numPr>
        <w:ind w:left="720"/>
      </w:pPr>
      <w:r w:rsidRPr="00B34A3A">
        <w:t>T</w:t>
      </w:r>
      <w:r w:rsidR="00D21D37" w:rsidRPr="00B34A3A">
        <w:t xml:space="preserve">enyészsertés az Európai Unió más tagállamából kizárólag </w:t>
      </w:r>
      <w:proofErr w:type="gramStart"/>
      <w:r w:rsidR="00D21D37" w:rsidRPr="00B34A3A">
        <w:t>mentes</w:t>
      </w:r>
      <w:proofErr w:type="gramEnd"/>
      <w:r w:rsidR="00D21D37" w:rsidRPr="00B34A3A">
        <w:t xml:space="preserve"> állományból és kizárólag </w:t>
      </w:r>
      <w:r w:rsidR="00782721" w:rsidRPr="00B34A3A">
        <w:t>harminc</w:t>
      </w:r>
      <w:r w:rsidR="00A11DD5" w:rsidRPr="00B34A3A">
        <w:t xml:space="preserve"> napnál nem régebbi egyedi mentes eredmény </w:t>
      </w:r>
      <w:r w:rsidR="00F8601E">
        <w:t>(</w:t>
      </w:r>
      <w:r w:rsidR="00F8601E" w:rsidRPr="00F8601E">
        <w:rPr>
          <w:i/>
        </w:rPr>
        <w:t>vakcinázott származási állomány esetén PCR, nem vakcinázott származási állomány esetén szerológia</w:t>
      </w:r>
      <w:r w:rsidR="00F8601E">
        <w:t xml:space="preserve">) </w:t>
      </w:r>
      <w:r w:rsidR="00A11DD5" w:rsidRPr="00B34A3A">
        <w:t>birtokában</w:t>
      </w:r>
      <w:r w:rsidR="00D21D37" w:rsidRPr="00B34A3A">
        <w:t xml:space="preserve"> szállítható be Magyarországra.</w:t>
      </w:r>
      <w:r w:rsidR="0020465A">
        <w:t xml:space="preserve"> </w:t>
      </w:r>
    </w:p>
    <w:p w:rsidR="00CC5829" w:rsidRPr="00B34A3A" w:rsidRDefault="00CC5829" w:rsidP="00B34A3A">
      <w:pPr>
        <w:pStyle w:val="Listaszerbekezds"/>
        <w:numPr>
          <w:ilvl w:val="2"/>
          <w:numId w:val="10"/>
        </w:numPr>
        <w:ind w:left="720"/>
      </w:pPr>
      <w:r w:rsidRPr="00B34A3A">
        <w:t xml:space="preserve">A </w:t>
      </w:r>
      <w:r w:rsidR="0066463F" w:rsidRPr="00B34A3A">
        <w:t>M</w:t>
      </w:r>
      <w:r w:rsidR="00D21D37" w:rsidRPr="00B34A3A">
        <w:t>agyarországra szállított állatokat hatvan napig karanténozni szükséges és</w:t>
      </w:r>
      <w:r w:rsidR="0066463F" w:rsidRPr="00B34A3A">
        <w:t xml:space="preserve"> </w:t>
      </w:r>
      <w:r w:rsidR="00D21D37" w:rsidRPr="00B34A3A">
        <w:t>a karanténba érkezést követő negyvennyolc órán belül, valamint a karanténozás utolsó hét napja alatt minden</w:t>
      </w:r>
      <w:r w:rsidR="0066463F" w:rsidRPr="00B34A3A">
        <w:t xml:space="preserve"> </w:t>
      </w:r>
      <w:r w:rsidR="00D21D37" w:rsidRPr="00B34A3A">
        <w:t>egyedből vért kell venni szerológiai</w:t>
      </w:r>
      <w:r w:rsidR="00F8601E">
        <w:t xml:space="preserve"> (vakcinázott állatok esetében virológiai)</w:t>
      </w:r>
      <w:r w:rsidR="00D21D37" w:rsidRPr="00B34A3A">
        <w:t xml:space="preserve"> vizsgálat céljára. A kanok esetében az ondó PCR vizsgálatát is el kell végezni</w:t>
      </w:r>
      <w:r w:rsidR="0066463F" w:rsidRPr="00B34A3A">
        <w:t xml:space="preserve"> </w:t>
      </w:r>
      <w:r w:rsidR="00D21D37" w:rsidRPr="00B34A3A">
        <w:t>a karantén utolsó hetében.</w:t>
      </w:r>
      <w:r w:rsidR="0020465A">
        <w:t xml:space="preserve"> </w:t>
      </w:r>
      <w:r w:rsidR="0020465A" w:rsidRPr="00B34A3A">
        <w:t>Ondóvételre még alkalmatlan, fiatal kanok esetében az NRL ajánlása alapján kell megerősítő vizsgálatot végezni a karantén feloldása előtt, az ondó vizsgálatát pedig a kan tenyésztésbe való beállítása előtt.</w:t>
      </w:r>
    </w:p>
    <w:p w:rsidR="00F8601E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t>Sertést kiszállítani csak a karantén leteltét követően, a</w:t>
      </w:r>
      <w:r w:rsidR="0068141B">
        <w:t xml:space="preserve"> karanténban lévő</w:t>
      </w:r>
      <w:r w:rsidRPr="00B34A3A">
        <w:t xml:space="preserve"> állományra vonatkozó negatív </w:t>
      </w:r>
      <w:r w:rsidR="00F8601E">
        <w:t>laboratóriumi</w:t>
      </w:r>
      <w:r w:rsidRPr="00B34A3A">
        <w:t xml:space="preserve"> eredmény</w:t>
      </w:r>
      <w:r w:rsidR="00B27773" w:rsidRPr="00B34A3A">
        <w:t xml:space="preserve"> </w:t>
      </w:r>
      <w:r w:rsidRPr="00B34A3A">
        <w:t xml:space="preserve">birtokában lehet. A </w:t>
      </w:r>
      <w:proofErr w:type="spellStart"/>
      <w:r w:rsidR="00F8601E">
        <w:t>szeronegatív</w:t>
      </w:r>
      <w:proofErr w:type="spellEnd"/>
      <w:r w:rsidR="00F8601E">
        <w:t xml:space="preserve"> egyedi eredménnyel beérkezett </w:t>
      </w:r>
      <w:proofErr w:type="spellStart"/>
      <w:r w:rsidRPr="00B34A3A">
        <w:t>szeropozitív</w:t>
      </w:r>
      <w:proofErr w:type="spellEnd"/>
      <w:r w:rsidRPr="00B34A3A">
        <w:t xml:space="preserve"> állatokat </w:t>
      </w:r>
      <w:proofErr w:type="spellStart"/>
      <w:r w:rsidRPr="00B34A3A">
        <w:t>teljeskörű</w:t>
      </w:r>
      <w:proofErr w:type="spellEnd"/>
      <w:r w:rsidRPr="00B34A3A">
        <w:t xml:space="preserve"> diagnosztikai vizsgálat céljából állami kárta</w:t>
      </w:r>
      <w:r w:rsidR="00B27773" w:rsidRPr="00B34A3A">
        <w:t>la</w:t>
      </w:r>
      <w:r w:rsidRPr="00B34A3A">
        <w:t>nítás</w:t>
      </w:r>
      <w:r w:rsidR="00B27773" w:rsidRPr="00B34A3A">
        <w:t xml:space="preserve"> </w:t>
      </w:r>
      <w:r w:rsidRPr="00B34A3A">
        <w:t>mellett le kell ölni. A diagnosztikai vizsgálatok kedvező eredménye esetén a karantén lejárta után a korlátozások</w:t>
      </w:r>
      <w:r w:rsidR="00B27773" w:rsidRPr="00B34A3A">
        <w:t xml:space="preserve"> </w:t>
      </w:r>
      <w:r w:rsidRPr="00B34A3A">
        <w:t xml:space="preserve">feloldhatók. </w:t>
      </w:r>
    </w:p>
    <w:p w:rsidR="00D21D37" w:rsidRPr="00B34A3A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t>Amennyiben a diagnosztikai vizsgálatok igazolják a PRRS vírus vagy genomjának jelenlétét, akkor</w:t>
      </w:r>
      <w:r w:rsidR="00B27773" w:rsidRPr="00B34A3A">
        <w:t xml:space="preserve"> </w:t>
      </w:r>
      <w:r w:rsidRPr="00B34A3A">
        <w:t>a teljes, karanténban tartott állomány kizárólag</w:t>
      </w:r>
      <w:r w:rsidR="00346580">
        <w:t xml:space="preserve"> </w:t>
      </w:r>
      <w:r w:rsidRPr="00B34A3A">
        <w:t>vágásra értékesíthető és az állattartó állami kártalanításra nem</w:t>
      </w:r>
      <w:r w:rsidR="00B27773" w:rsidRPr="00B34A3A">
        <w:t xml:space="preserve"> </w:t>
      </w:r>
      <w:r w:rsidRPr="00B34A3A">
        <w:t>jogosult.</w:t>
      </w:r>
    </w:p>
    <w:p w:rsidR="00CC5829" w:rsidRPr="00B34A3A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t xml:space="preserve">Továbbtartásra szánt hízósertések </w:t>
      </w:r>
      <w:r w:rsidR="00FA45B5">
        <w:t>mentes területre csak mentes állományból érkezhetnek. M</w:t>
      </w:r>
      <w:r w:rsidRPr="00B34A3A">
        <w:t>entesítés alatt álló területre történő</w:t>
      </w:r>
      <w:r w:rsidR="00FA45B5">
        <w:t xml:space="preserve"> hasonló célú</w:t>
      </w:r>
      <w:r w:rsidRPr="00B34A3A">
        <w:t xml:space="preserve"> beszállítás esetében</w:t>
      </w:r>
      <w:r w:rsidR="00FA45B5">
        <w:t xml:space="preserve"> (ez csak a 6. pontban szereplő határidőig lehetséges)</w:t>
      </w:r>
      <w:r w:rsidR="0020465A">
        <w:t xml:space="preserve"> fertőzött vagy nem ismert státuszú állományból származó egyedeket</w:t>
      </w:r>
      <w:r w:rsidR="0068141B">
        <w:t xml:space="preserve"> az 5%-os előfordulás 95%-os biztonsággal történő megállapításához szükséges módon</w:t>
      </w:r>
      <w:r w:rsidR="0020465A">
        <w:t xml:space="preserve"> kell vizsgálni.</w:t>
      </w:r>
      <w:r w:rsidR="00B27773" w:rsidRPr="00B34A3A">
        <w:t xml:space="preserve"> </w:t>
      </w:r>
      <w:r w:rsidR="0020465A">
        <w:t>A</w:t>
      </w:r>
      <w:r w:rsidR="0020465A" w:rsidRPr="00B34A3A">
        <w:t xml:space="preserve">mennyiben </w:t>
      </w:r>
      <w:r w:rsidRPr="00B34A3A">
        <w:t>az állatok mentes</w:t>
      </w:r>
      <w:r w:rsidR="00CC5829" w:rsidRPr="00B34A3A">
        <w:t xml:space="preserve"> </w:t>
      </w:r>
      <w:r w:rsidRPr="00B34A3A">
        <w:t>állományból származnak, akkor</w:t>
      </w:r>
      <w:r w:rsidR="00FA45B5">
        <w:t xml:space="preserve"> mind a mentes, mind a mentesítés alatt álló területen</w:t>
      </w:r>
      <w:r w:rsidRPr="00B34A3A">
        <w:t xml:space="preserve"> </w:t>
      </w:r>
      <w:r w:rsidR="001F207B">
        <w:t xml:space="preserve">– </w:t>
      </w:r>
      <w:r w:rsidR="002C3C29" w:rsidRPr="002C3C29">
        <w:t>a hatósági minősítés kiadásához</w:t>
      </w:r>
      <w:r w:rsidR="001F207B">
        <w:t xml:space="preserve"> - </w:t>
      </w:r>
      <w:r w:rsidRPr="00B34A3A">
        <w:t>elegendő a karanténozás utolsó hét napja alatt, 95%-os biztonság és 10%-os</w:t>
      </w:r>
      <w:r w:rsidR="00B27773" w:rsidRPr="00B34A3A">
        <w:t xml:space="preserve"> </w:t>
      </w:r>
      <w:r w:rsidRPr="00B34A3A">
        <w:t>előfordulás figyelembe vételével meghatározott számú egyed szerológiai vizsgálata.</w:t>
      </w:r>
    </w:p>
    <w:p w:rsidR="00CC5829" w:rsidRPr="00B34A3A" w:rsidRDefault="00D21D37" w:rsidP="00B34A3A">
      <w:pPr>
        <w:pStyle w:val="Listaszerbekezds"/>
        <w:numPr>
          <w:ilvl w:val="2"/>
          <w:numId w:val="10"/>
        </w:numPr>
        <w:ind w:left="720"/>
      </w:pPr>
      <w:r w:rsidRPr="00B34A3A">
        <w:t>Fertőzött területre továbbtartásra szánt hízósertés a származási állomány PRRS-státuszára való tekintet nélkül</w:t>
      </w:r>
      <w:r w:rsidR="00B27773" w:rsidRPr="00B34A3A">
        <w:t xml:space="preserve"> </w:t>
      </w:r>
      <w:r w:rsidRPr="00B34A3A">
        <w:t>beszállítható. A beérkezett állatokat a rendeltetési helyről tovább szállítani – kivéve közvetlen vágás céljából – csak</w:t>
      </w:r>
      <w:r w:rsidR="00B27773" w:rsidRPr="00B34A3A">
        <w:t xml:space="preserve"> 95%-os biztonság és 10%-os előfordulás figyelembe vételével meghatározott számú egyed szerológiai vizsgálata </w:t>
      </w:r>
      <w:r w:rsidRPr="00B34A3A">
        <w:t>negatív eredményének birtokában lehet.</w:t>
      </w:r>
    </w:p>
    <w:p w:rsidR="008D22BA" w:rsidRPr="00B34A3A" w:rsidRDefault="0012768B" w:rsidP="00A37447">
      <w:pPr>
        <w:pStyle w:val="Listaszerbekezds"/>
        <w:numPr>
          <w:ilvl w:val="2"/>
          <w:numId w:val="10"/>
        </w:numPr>
        <w:ind w:left="720"/>
      </w:pPr>
      <w:r w:rsidRPr="00B34A3A">
        <w:t>Mentes</w:t>
      </w:r>
      <w:r w:rsidR="00A96373">
        <w:rPr>
          <w:color w:val="FF0000"/>
        </w:rPr>
        <w:t xml:space="preserve"> </w:t>
      </w:r>
      <w:r w:rsidRPr="00B34A3A">
        <w:t>területre</w:t>
      </w:r>
      <w:r w:rsidR="00380A26" w:rsidRPr="00B34A3A">
        <w:t>,</w:t>
      </w:r>
      <w:r w:rsidRPr="00B34A3A">
        <w:t xml:space="preserve"> </w:t>
      </w:r>
      <w:r w:rsidR="00D21D37" w:rsidRPr="00B34A3A">
        <w:t>mentes</w:t>
      </w:r>
      <w:r w:rsidR="00F249B2" w:rsidRPr="00B34A3A">
        <w:t xml:space="preserve"> </w:t>
      </w:r>
      <w:r w:rsidR="00D21D37" w:rsidRPr="00B34A3A">
        <w:t>terület földrajzi határától számított 15 km-es</w:t>
      </w:r>
      <w:r w:rsidR="00380A26" w:rsidRPr="00B34A3A">
        <w:t xml:space="preserve"> </w:t>
      </w:r>
      <w:r w:rsidR="00D21D37" w:rsidRPr="00B34A3A">
        <w:t>sávon belülre, valamint mentes</w:t>
      </w:r>
      <w:r w:rsidR="002A0685" w:rsidRPr="00B34A3A">
        <w:t>ítés alatt álló</w:t>
      </w:r>
      <w:r w:rsidR="00B463D2" w:rsidRPr="00B34A3A">
        <w:t xml:space="preserve"> </w:t>
      </w:r>
      <w:r w:rsidR="00F249B2" w:rsidRPr="00B34A3A">
        <w:t xml:space="preserve">területen lévő mentes </w:t>
      </w:r>
      <w:r w:rsidR="00D21D37" w:rsidRPr="00B34A3A">
        <w:t>nagylétszámú állomány köré vont 15 km-es sugarú körön belülre fertőzött vagy ismeretlen státuszú állományból</w:t>
      </w:r>
      <w:r w:rsidR="00B463D2" w:rsidRPr="00B34A3A">
        <w:t xml:space="preserve"> </w:t>
      </w:r>
      <w:r w:rsidR="00D21D37" w:rsidRPr="00B34A3A">
        <w:t xml:space="preserve">származó sertés </w:t>
      </w:r>
      <w:r w:rsidR="0068141B">
        <w:t>kizárólag azonnali vágás céljából vágóhídra</w:t>
      </w:r>
      <w:r w:rsidR="0068141B" w:rsidRPr="00B34A3A">
        <w:t xml:space="preserve"> </w:t>
      </w:r>
      <w:r w:rsidR="00D21D37" w:rsidRPr="00B34A3A">
        <w:t xml:space="preserve">szállítható be. </w:t>
      </w:r>
      <w:r w:rsidR="00A37447">
        <w:t xml:space="preserve">Mentesítés alatt álló terület egyéb területeire a 6. pontban leírt dátum a fertőzött </w:t>
      </w:r>
      <w:r w:rsidR="00A37447">
        <w:lastRenderedPageBreak/>
        <w:t xml:space="preserve">vagy ismeretlen állományból származó hízósertések beszállításának végső határideje, a határidő után </w:t>
      </w:r>
      <w:r w:rsidR="00FA45B5">
        <w:t>fertőzött sertés az</w:t>
      </w:r>
      <w:r w:rsidR="00A37447">
        <w:t xml:space="preserve"> egész mentesítés alá vont területre kizárólag </w:t>
      </w:r>
      <w:r w:rsidR="00FA45B5">
        <w:t>azonnali vágás céljából szállítható be</w:t>
      </w:r>
      <w:r w:rsidR="00A37447">
        <w:t>.</w:t>
      </w:r>
    </w:p>
    <w:p w:rsidR="007F0CD0" w:rsidRDefault="00CC5829" w:rsidP="007F0CD0">
      <w:pPr>
        <w:pStyle w:val="Listaszerbekezds"/>
        <w:ind w:left="360"/>
        <w:rPr>
          <w:i/>
        </w:rPr>
      </w:pPr>
      <w:r w:rsidRPr="00B34A3A">
        <w:rPr>
          <w:i/>
        </w:rPr>
        <w:t xml:space="preserve"> </w:t>
      </w:r>
    </w:p>
    <w:p w:rsidR="00D21D37" w:rsidRPr="00B34A3A" w:rsidRDefault="00D21D37" w:rsidP="00B34A3A">
      <w:pPr>
        <w:pStyle w:val="Listaszerbekezds"/>
        <w:numPr>
          <w:ilvl w:val="1"/>
          <w:numId w:val="10"/>
        </w:numPr>
        <w:rPr>
          <w:i/>
        </w:rPr>
      </w:pPr>
      <w:r w:rsidRPr="00B34A3A">
        <w:rPr>
          <w:i/>
        </w:rPr>
        <w:t>Sertés beszállítása harmadik országokból</w:t>
      </w:r>
    </w:p>
    <w:p w:rsidR="00CC5829" w:rsidRPr="00B34A3A" w:rsidRDefault="00CC5829" w:rsidP="00B34A3A">
      <w:pPr>
        <w:pStyle w:val="Listaszerbekezds"/>
        <w:ind w:left="720"/>
        <w:rPr>
          <w:i/>
        </w:rPr>
      </w:pPr>
    </w:p>
    <w:p w:rsidR="00D21D37" w:rsidRPr="00B34A3A" w:rsidRDefault="00D21D37" w:rsidP="00B34A3A">
      <w:pPr>
        <w:pStyle w:val="Listaszerbekezds"/>
        <w:numPr>
          <w:ilvl w:val="2"/>
          <w:numId w:val="10"/>
        </w:numPr>
        <w:ind w:left="720"/>
        <w:rPr>
          <w:i/>
        </w:rPr>
      </w:pPr>
      <w:r w:rsidRPr="00B34A3A">
        <w:t xml:space="preserve">Tenyészsertés és továbbtartásra szánt hízósertés harmadik országokból kizárólag hivatalosan </w:t>
      </w:r>
      <w:proofErr w:type="gramStart"/>
      <w:r w:rsidRPr="00B34A3A">
        <w:t>mentes</w:t>
      </w:r>
      <w:proofErr w:type="gramEnd"/>
      <w:r w:rsidRPr="00B34A3A">
        <w:t xml:space="preserve"> állományból,</w:t>
      </w:r>
      <w:r w:rsidR="00B463D2" w:rsidRPr="00B34A3A">
        <w:t xml:space="preserve"> </w:t>
      </w:r>
      <w:r w:rsidR="0012695B" w:rsidRPr="00B34A3A">
        <w:t>tizennégy</w:t>
      </w:r>
      <w:r w:rsidR="00622070" w:rsidRPr="00B34A3A">
        <w:t xml:space="preserve"> napnál </w:t>
      </w:r>
      <w:r w:rsidRPr="00B34A3A">
        <w:t>nem régebbi egyedi mentes vizsgálati eredmény</w:t>
      </w:r>
      <w:r w:rsidR="00685E37">
        <w:t xml:space="preserve"> (</w:t>
      </w:r>
      <w:r w:rsidR="00685E37" w:rsidRPr="00F8601E">
        <w:rPr>
          <w:i/>
        </w:rPr>
        <w:t>vakcinázott származási állomány esetén PCR, nem vakcinázott származási állomány esetén szerológia</w:t>
      </w:r>
      <w:r w:rsidR="00685E37">
        <w:t>)</w:t>
      </w:r>
      <w:r w:rsidRPr="00B34A3A">
        <w:t xml:space="preserve"> birtokában szállítható be Magyarországra.</w:t>
      </w:r>
    </w:p>
    <w:p w:rsidR="00D21D37" w:rsidRPr="00B34A3A" w:rsidRDefault="00D21D37" w:rsidP="00B34A3A">
      <w:pPr>
        <w:pStyle w:val="Listaszerbekezds"/>
        <w:numPr>
          <w:ilvl w:val="2"/>
          <w:numId w:val="10"/>
        </w:numPr>
        <w:ind w:left="720"/>
        <w:rPr>
          <w:i/>
        </w:rPr>
      </w:pPr>
      <w:r w:rsidRPr="00B34A3A">
        <w:t xml:space="preserve">A </w:t>
      </w:r>
      <w:r w:rsidR="00F83F89">
        <w:t>9</w:t>
      </w:r>
      <w:r w:rsidR="00B463D2" w:rsidRPr="00B34A3A">
        <w:t xml:space="preserve">.3.1. </w:t>
      </w:r>
      <w:r w:rsidRPr="00B34A3A">
        <w:t>foglaltak szerint Magyarországra szállított állatok esetében a karanténba érkezést követő</w:t>
      </w:r>
      <w:r w:rsidR="00B463D2" w:rsidRPr="00B34A3A">
        <w:t xml:space="preserve"> </w:t>
      </w:r>
      <w:r w:rsidRPr="00B34A3A">
        <w:t>negyvennyolc órán belül, valamint a karan</w:t>
      </w:r>
      <w:r w:rsidR="00B463D2" w:rsidRPr="00B34A3A">
        <w:t>téno</w:t>
      </w:r>
      <w:r w:rsidRPr="00B34A3A">
        <w:t>zás utolsó hét napja alatt minden egyedből vért kell venni szerológiai</w:t>
      </w:r>
      <w:r w:rsidR="00685E37">
        <w:t xml:space="preserve"> (vakcinázott állatok esetében virológiai)</w:t>
      </w:r>
      <w:r w:rsidR="00B463D2" w:rsidRPr="00B34A3A">
        <w:t xml:space="preserve"> vizs</w:t>
      </w:r>
      <w:r w:rsidRPr="00B34A3A">
        <w:t>gálat céljára. A karantén utolsó hetében a kanoktól egyedi ondómintát is kell venni.</w:t>
      </w:r>
      <w:r w:rsidR="008F6119">
        <w:t xml:space="preserve"> </w:t>
      </w:r>
      <w:r w:rsidR="008F6119" w:rsidRPr="00B34A3A">
        <w:t>Ondóvételre még alkalmatlan, fiatal kanok esetében az NRL ajánlása alapján kell megerősítő vizsgálatot végezni a karantén feloldása előtt, az ondó vizsgálatát pedig a kan tenyésztésbe való beállítása előtt.</w:t>
      </w:r>
    </w:p>
    <w:p w:rsidR="00685E37" w:rsidRPr="00685E37" w:rsidRDefault="00D21D37" w:rsidP="00B34A3A">
      <w:pPr>
        <w:pStyle w:val="Listaszerbekezds"/>
        <w:numPr>
          <w:ilvl w:val="2"/>
          <w:numId w:val="10"/>
        </w:numPr>
        <w:ind w:left="720"/>
        <w:rPr>
          <w:i/>
        </w:rPr>
      </w:pPr>
      <w:r w:rsidRPr="00B34A3A">
        <w:t xml:space="preserve">Karanténból sertést </w:t>
      </w:r>
      <w:r w:rsidR="00685E37" w:rsidRPr="00B34A3A">
        <w:t>kiszállítani csak a karantén leteltét követően, a</w:t>
      </w:r>
      <w:r w:rsidR="00685E37">
        <w:t xml:space="preserve"> karanténban lévő</w:t>
      </w:r>
      <w:r w:rsidR="00685E37" w:rsidRPr="00B34A3A">
        <w:t xml:space="preserve"> állományra vonatkozó negatív </w:t>
      </w:r>
      <w:r w:rsidR="00685E37">
        <w:t>laboratóriumi</w:t>
      </w:r>
      <w:r w:rsidR="00685E37" w:rsidRPr="00B34A3A">
        <w:t xml:space="preserve"> eredmény birtokában lehet. A </w:t>
      </w:r>
      <w:proofErr w:type="spellStart"/>
      <w:r w:rsidR="00685E37">
        <w:t>szeronegatív</w:t>
      </w:r>
      <w:proofErr w:type="spellEnd"/>
      <w:r w:rsidR="00685E37">
        <w:t xml:space="preserve"> egyedi eredménnyel beérkezett </w:t>
      </w:r>
      <w:proofErr w:type="spellStart"/>
      <w:r w:rsidR="00685E37" w:rsidRPr="00B34A3A">
        <w:t>szeropozitív</w:t>
      </w:r>
      <w:proofErr w:type="spellEnd"/>
      <w:r w:rsidR="00685E37" w:rsidRPr="00B34A3A">
        <w:t xml:space="preserve"> állatokat </w:t>
      </w:r>
      <w:proofErr w:type="spellStart"/>
      <w:r w:rsidR="00685E37" w:rsidRPr="00B34A3A">
        <w:t>teljeskörű</w:t>
      </w:r>
      <w:proofErr w:type="spellEnd"/>
      <w:r w:rsidR="00685E37" w:rsidRPr="00B34A3A">
        <w:t xml:space="preserve"> diagnosztikai vizsgálat céljából állami kártalanítás mellett le kell ölni. A diagnosztikai vizsgálatok kedvező eredménye esetén a karantén lejárta után a korlátozások feloldhatók.</w:t>
      </w:r>
    </w:p>
    <w:p w:rsidR="00D21D37" w:rsidRPr="002858E3" w:rsidRDefault="00D21D37" w:rsidP="00B34A3A">
      <w:pPr>
        <w:pStyle w:val="Listaszerbekezds"/>
        <w:numPr>
          <w:ilvl w:val="2"/>
          <w:numId w:val="10"/>
        </w:numPr>
        <w:ind w:left="720"/>
        <w:rPr>
          <w:i/>
        </w:rPr>
      </w:pPr>
      <w:r w:rsidRPr="00B34A3A">
        <w:t>Amennyiben a diagnosztikai vizsgálatok igazolják a PRRS vírus vagy genomjának</w:t>
      </w:r>
      <w:r w:rsidR="00B463D2" w:rsidRPr="00B34A3A">
        <w:t xml:space="preserve"> </w:t>
      </w:r>
      <w:r w:rsidRPr="00B34A3A">
        <w:t>jelenlétét, akkor a teljes, karanténban tartott állományt haladéktalanul vágásra kell bocsátani és az állattartó állami</w:t>
      </w:r>
      <w:r w:rsidR="00B463D2" w:rsidRPr="00B34A3A">
        <w:t xml:space="preserve"> </w:t>
      </w:r>
      <w:r w:rsidRPr="00B34A3A">
        <w:t>kártalanításra nem jogosult.</w:t>
      </w:r>
    </w:p>
    <w:p w:rsidR="00685E37" w:rsidRPr="00685E37" w:rsidRDefault="00685E37" w:rsidP="00685E37">
      <w:pPr>
        <w:ind w:left="360"/>
        <w:rPr>
          <w:i/>
        </w:rPr>
      </w:pPr>
    </w:p>
    <w:p w:rsidR="00685E37" w:rsidRPr="00685E37" w:rsidRDefault="00685E37" w:rsidP="00685E37">
      <w:pPr>
        <w:ind w:left="360"/>
        <w:rPr>
          <w:i/>
        </w:rPr>
      </w:pPr>
    </w:p>
    <w:p w:rsidR="00685E37" w:rsidRPr="00685E37" w:rsidRDefault="00685E37" w:rsidP="002C3C29">
      <w:pPr>
        <w:pStyle w:val="Listaszerbekezds"/>
        <w:numPr>
          <w:ilvl w:val="1"/>
          <w:numId w:val="10"/>
        </w:numPr>
        <w:rPr>
          <w:i/>
        </w:rPr>
      </w:pPr>
      <w:r w:rsidRPr="00685E37">
        <w:rPr>
          <w:i/>
        </w:rPr>
        <w:t>Mesterséges termékenyítés</w:t>
      </w:r>
    </w:p>
    <w:p w:rsidR="00685E37" w:rsidRDefault="00685E37" w:rsidP="00685E37">
      <w:pPr>
        <w:ind w:left="360" w:firstLine="349"/>
      </w:pPr>
    </w:p>
    <w:p w:rsidR="002C3C29" w:rsidRDefault="002858E3" w:rsidP="00685E37">
      <w:pPr>
        <w:ind w:left="360" w:firstLine="349"/>
      </w:pPr>
      <w:proofErr w:type="gramStart"/>
      <w:r>
        <w:t>Mentes</w:t>
      </w:r>
      <w:proofErr w:type="gramEnd"/>
      <w:r>
        <w:t xml:space="preserve"> állományban - a termékenyítő anyag származási helyétől függetlenül - kizárólag PCR vizsgálattal igazoltan mentes sperma használható fel mesterséges termékenyítés céljára.</w:t>
      </w:r>
    </w:p>
    <w:p w:rsidR="00BC0978" w:rsidRPr="00685E37" w:rsidRDefault="00BC0978" w:rsidP="00685E37">
      <w:pPr>
        <w:ind w:left="360" w:firstLine="349"/>
        <w:rPr>
          <w:i/>
        </w:rPr>
      </w:pPr>
    </w:p>
    <w:p w:rsidR="00583D01" w:rsidRPr="00B34A3A" w:rsidRDefault="00583D01" w:rsidP="00B34A3A">
      <w:pPr>
        <w:autoSpaceDE w:val="0"/>
        <w:autoSpaceDN w:val="0"/>
        <w:adjustRightInd w:val="0"/>
        <w:ind w:left="708"/>
      </w:pPr>
    </w:p>
    <w:p w:rsidR="007704E2" w:rsidRPr="00B34A3A" w:rsidRDefault="007704E2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B34A3A">
        <w:rPr>
          <w:b/>
          <w:iCs/>
          <w:sz w:val="26"/>
          <w:szCs w:val="26"/>
        </w:rPr>
        <w:t>Az immunizálási módsze</w:t>
      </w:r>
      <w:r w:rsidR="004923DD" w:rsidRPr="00B34A3A">
        <w:rPr>
          <w:b/>
          <w:iCs/>
          <w:sz w:val="26"/>
          <w:szCs w:val="26"/>
        </w:rPr>
        <w:t>r alapelvei</w:t>
      </w:r>
    </w:p>
    <w:p w:rsidR="001447E2" w:rsidRPr="00B34A3A" w:rsidRDefault="001447E2" w:rsidP="00B34A3A">
      <w:pPr>
        <w:autoSpaceDE w:val="0"/>
        <w:autoSpaceDN w:val="0"/>
        <w:adjustRightInd w:val="0"/>
        <w:rPr>
          <w:i/>
        </w:rPr>
      </w:pPr>
    </w:p>
    <w:p w:rsidR="001447E2" w:rsidRPr="00B34A3A" w:rsidRDefault="001447E2" w:rsidP="00B34A3A">
      <w:pPr>
        <w:autoSpaceDE w:val="0"/>
        <w:autoSpaceDN w:val="0"/>
        <w:adjustRightInd w:val="0"/>
        <w:rPr>
          <w:i/>
        </w:rPr>
      </w:pPr>
      <w:r w:rsidRPr="00B34A3A">
        <w:rPr>
          <w:i/>
        </w:rPr>
        <w:t>Tenyésztelepek (fialástól a vágásig típusúak)</w:t>
      </w:r>
    </w:p>
    <w:p w:rsidR="001447E2" w:rsidRPr="00B34A3A" w:rsidRDefault="001447E2" w:rsidP="00B34A3A">
      <w:pPr>
        <w:autoSpaceDE w:val="0"/>
        <w:autoSpaceDN w:val="0"/>
        <w:adjustRightInd w:val="0"/>
        <w:rPr>
          <w:i/>
          <w:u w:val="single"/>
        </w:rPr>
      </w:pPr>
    </w:p>
    <w:p w:rsidR="00CE2583" w:rsidRPr="00B34A3A" w:rsidRDefault="007704E2" w:rsidP="00B34A3A">
      <w:pPr>
        <w:autoSpaceDE w:val="0"/>
        <w:autoSpaceDN w:val="0"/>
        <w:adjustRightInd w:val="0"/>
        <w:ind w:firstLine="708"/>
      </w:pPr>
      <w:r w:rsidRPr="00B34A3A">
        <w:t xml:space="preserve">a./ valamennyi </w:t>
      </w:r>
      <w:r w:rsidR="00CE2583" w:rsidRPr="00B34A3A">
        <w:t xml:space="preserve">nőivarú tenyészállat </w:t>
      </w:r>
      <w:r w:rsidRPr="00B34A3A">
        <w:t xml:space="preserve">alapimmunizálása (2x 4 hetes </w:t>
      </w:r>
    </w:p>
    <w:p w:rsidR="007704E2" w:rsidRPr="00B34A3A" w:rsidRDefault="007704E2" w:rsidP="00B34A3A">
      <w:pPr>
        <w:autoSpaceDE w:val="0"/>
        <w:autoSpaceDN w:val="0"/>
        <w:adjustRightInd w:val="0"/>
        <w:ind w:left="708" w:firstLine="708"/>
      </w:pPr>
      <w:r w:rsidRPr="00B34A3A">
        <w:t>időközzel), ha indokolt</w:t>
      </w:r>
    </w:p>
    <w:p w:rsidR="007704E2" w:rsidRPr="00B34A3A" w:rsidRDefault="007704E2" w:rsidP="00B34A3A">
      <w:pPr>
        <w:autoSpaceDE w:val="0"/>
        <w:autoSpaceDN w:val="0"/>
        <w:adjustRightInd w:val="0"/>
        <w:ind w:firstLine="708"/>
      </w:pPr>
      <w:r w:rsidRPr="00B34A3A">
        <w:t>b./ valamennyi 60-80 napos vemhes koca immunizálása,</w:t>
      </w:r>
    </w:p>
    <w:p w:rsidR="007704E2" w:rsidRPr="00B34A3A" w:rsidRDefault="007704E2" w:rsidP="00B34A3A">
      <w:pPr>
        <w:autoSpaceDE w:val="0"/>
        <w:autoSpaceDN w:val="0"/>
        <w:adjustRightInd w:val="0"/>
        <w:ind w:firstLine="708"/>
      </w:pPr>
      <w:r w:rsidRPr="00B34A3A">
        <w:t>c./ valamennyi kan negyedévenkénti immunizálása,</w:t>
      </w:r>
    </w:p>
    <w:p w:rsidR="007704E2" w:rsidRPr="00B34A3A" w:rsidRDefault="007704E2" w:rsidP="00B34A3A">
      <w:pPr>
        <w:autoSpaceDE w:val="0"/>
        <w:autoSpaceDN w:val="0"/>
        <w:adjustRightInd w:val="0"/>
        <w:ind w:firstLine="708"/>
      </w:pPr>
      <w:r w:rsidRPr="00B34A3A">
        <w:t>d./ valamennyi növendék állat immunizálása</w:t>
      </w:r>
    </w:p>
    <w:p w:rsidR="007704E2" w:rsidRPr="00B34A3A" w:rsidRDefault="007704E2" w:rsidP="00B34A3A">
      <w:pPr>
        <w:autoSpaceDE w:val="0"/>
        <w:autoSpaceDN w:val="0"/>
        <w:adjustRightInd w:val="0"/>
        <w:ind w:firstLine="708"/>
      </w:pPr>
      <w:r w:rsidRPr="00B34A3A">
        <w:t>e./ valamennyi szűz, utánpótlás kocasüldő alapimmunizálása.</w:t>
      </w:r>
    </w:p>
    <w:p w:rsidR="007704E2" w:rsidRPr="00B34A3A" w:rsidRDefault="007704E2" w:rsidP="00B34A3A">
      <w:pPr>
        <w:autoSpaceDE w:val="0"/>
        <w:autoSpaceDN w:val="0"/>
        <w:adjustRightInd w:val="0"/>
      </w:pPr>
    </w:p>
    <w:p w:rsidR="00BC0978" w:rsidRDefault="00BC0978" w:rsidP="00B34A3A">
      <w:pPr>
        <w:autoSpaceDE w:val="0"/>
        <w:autoSpaceDN w:val="0"/>
        <w:adjustRightInd w:val="0"/>
      </w:pPr>
    </w:p>
    <w:p w:rsidR="00BC0978" w:rsidRDefault="00BC0978" w:rsidP="00B34A3A">
      <w:pPr>
        <w:autoSpaceDE w:val="0"/>
        <w:autoSpaceDN w:val="0"/>
        <w:adjustRightInd w:val="0"/>
      </w:pPr>
    </w:p>
    <w:p w:rsidR="00BC0978" w:rsidRDefault="00BC0978" w:rsidP="00B34A3A">
      <w:pPr>
        <w:autoSpaceDE w:val="0"/>
        <w:autoSpaceDN w:val="0"/>
        <w:adjustRightInd w:val="0"/>
      </w:pPr>
    </w:p>
    <w:p w:rsidR="007704E2" w:rsidRPr="00B34A3A" w:rsidRDefault="007704E2" w:rsidP="00B34A3A">
      <w:pPr>
        <w:autoSpaceDE w:val="0"/>
        <w:autoSpaceDN w:val="0"/>
        <w:adjustRightInd w:val="0"/>
      </w:pPr>
      <w:r w:rsidRPr="00B34A3A">
        <w:lastRenderedPageBreak/>
        <w:t xml:space="preserve">Ettől eltérő immunizálási protokollt akkor lehet a telepen alkalmazni, ha </w:t>
      </w:r>
    </w:p>
    <w:p w:rsidR="007704E2" w:rsidRPr="00B34A3A" w:rsidRDefault="007704E2" w:rsidP="00B34A3A">
      <w:pPr>
        <w:autoSpaceDE w:val="0"/>
        <w:autoSpaceDN w:val="0"/>
        <w:adjustRightInd w:val="0"/>
      </w:pPr>
    </w:p>
    <w:p w:rsidR="007704E2" w:rsidRPr="00B34A3A" w:rsidRDefault="007704E2" w:rsidP="00B34A3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contextualSpacing/>
      </w:pPr>
      <w:r w:rsidRPr="00B34A3A">
        <w:t xml:space="preserve">szerológiai és PCR vizsgálatokkal igazolt, hogy a telepen egy adott korcsoportú sertés valamennyi egyede negatív, </w:t>
      </w:r>
    </w:p>
    <w:p w:rsidR="007704E2" w:rsidRPr="00B34A3A" w:rsidRDefault="007704E2" w:rsidP="00B34A3A">
      <w:pPr>
        <w:pStyle w:val="Listaszerbekezds"/>
        <w:numPr>
          <w:ilvl w:val="0"/>
          <w:numId w:val="4"/>
        </w:numPr>
        <w:autoSpaceDE w:val="0"/>
        <w:autoSpaceDN w:val="0"/>
        <w:adjustRightInd w:val="0"/>
        <w:contextualSpacing/>
      </w:pPr>
      <w:r w:rsidRPr="00B34A3A">
        <w:t>ha a vágásra értékesített állatok 3 egymást követő hónapban, havonta, 95 % megbízhatóság és 5 % előfordulási arány mintavételezéssel elvégzett szerológiai és PCR vizsgálata negatív eredményre vezet.</w:t>
      </w:r>
    </w:p>
    <w:p w:rsidR="0017797C" w:rsidRPr="00B34A3A" w:rsidRDefault="007704E2" w:rsidP="00B34A3A">
      <w:pPr>
        <w:autoSpaceDE w:val="0"/>
        <w:autoSpaceDN w:val="0"/>
        <w:adjustRightInd w:val="0"/>
        <w:ind w:left="360"/>
      </w:pPr>
      <w:r w:rsidRPr="00B34A3A">
        <w:t xml:space="preserve">A fentitől eltérő immunizálási protokollt </w:t>
      </w:r>
      <w:r w:rsidR="001F207B">
        <w:t>a megyei KH ÉLBÁI</w:t>
      </w:r>
      <w:r w:rsidR="00701743" w:rsidRPr="00B34A3A">
        <w:t xml:space="preserve"> </w:t>
      </w:r>
      <w:r w:rsidRPr="00B34A3A">
        <w:t>a tulajdonos írásbeli kérelmére írásban engedélyez</w:t>
      </w:r>
      <w:r w:rsidR="00701743" w:rsidRPr="00B34A3A">
        <w:t>i</w:t>
      </w:r>
      <w:r w:rsidRPr="00B34A3A">
        <w:t xml:space="preserve">, miután kikérte a PRRS Nemzeti Mentesítési Bizottság véleményét.    </w:t>
      </w:r>
    </w:p>
    <w:p w:rsidR="00FA45B5" w:rsidRDefault="00FA45B5" w:rsidP="00FA45B5">
      <w:pPr>
        <w:pStyle w:val="Listaszerbekezds"/>
        <w:ind w:left="0"/>
        <w:rPr>
          <w:b/>
          <w:iCs/>
          <w:sz w:val="26"/>
          <w:szCs w:val="26"/>
        </w:rPr>
      </w:pPr>
    </w:p>
    <w:p w:rsidR="00685E37" w:rsidRPr="00685E37" w:rsidRDefault="00685E37" w:rsidP="00685E37">
      <w:pPr>
        <w:rPr>
          <w:b/>
          <w:iCs/>
          <w:sz w:val="26"/>
          <w:szCs w:val="26"/>
        </w:rPr>
      </w:pPr>
    </w:p>
    <w:p w:rsidR="00C27DF1" w:rsidRPr="005E32EB" w:rsidRDefault="00C27DF1" w:rsidP="00B34A3A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 w:rsidRPr="005E32EB">
        <w:rPr>
          <w:b/>
          <w:iCs/>
          <w:sz w:val="26"/>
          <w:szCs w:val="26"/>
        </w:rPr>
        <w:t xml:space="preserve"> A vágással kapcsolatos szabályok</w:t>
      </w:r>
    </w:p>
    <w:p w:rsidR="00C27DF1" w:rsidRPr="00B34A3A" w:rsidRDefault="00C27DF1" w:rsidP="00B34A3A"/>
    <w:p w:rsidR="00C27DF1" w:rsidRPr="00B34A3A" w:rsidRDefault="00C27DF1" w:rsidP="00B34A3A">
      <w:r w:rsidRPr="00B34A3A">
        <w:t xml:space="preserve">A sertések esetleges tünetmentes PRRS fertőzöttsége a levágott állat emberi fogyasztásra való alkalmasságát nem befolyásolja. Ennek megfelelően a PRRS-től nem mentes állományokból származó sertések húsa és egyéb termékei is emberi fogyasztásra alkalmasak. </w:t>
      </w:r>
    </w:p>
    <w:p w:rsidR="00C27DF1" w:rsidRPr="00B34A3A" w:rsidRDefault="00C27DF1" w:rsidP="00B34A3A">
      <w:r w:rsidRPr="00B34A3A">
        <w:t xml:space="preserve">Ugyanakkor a nem mentes állományból származó állatokat szállító jármű tisztítását és fertőtlenítését, mielőtt az elhagyja a vágóhíd területét, fokozottan ellenőrizni kell. </w:t>
      </w:r>
    </w:p>
    <w:p w:rsidR="00C27DF1" w:rsidRPr="00B34A3A" w:rsidRDefault="00C27DF1" w:rsidP="00B34A3A">
      <w:r w:rsidRPr="00B34A3A">
        <w:t xml:space="preserve">Mentes megyében lévő vágóhídra </w:t>
      </w:r>
      <w:r w:rsidR="00643815" w:rsidRPr="00B34A3A">
        <w:t xml:space="preserve">nem mentes </w:t>
      </w:r>
      <w:r w:rsidRPr="00B34A3A">
        <w:t xml:space="preserve">állományból sertést beszállítani </w:t>
      </w:r>
      <w:r w:rsidR="00643815" w:rsidRPr="00B34A3A">
        <w:t xml:space="preserve">csak </w:t>
      </w:r>
      <w:r w:rsidRPr="00B34A3A">
        <w:t xml:space="preserve">azonnali </w:t>
      </w:r>
      <w:r w:rsidR="00380A26" w:rsidRPr="00B34A3A">
        <w:t>(</w:t>
      </w:r>
      <w:r w:rsidR="008C2874" w:rsidRPr="00B34A3A">
        <w:t>haladéktalanul, pihentetés nélkül végrehajtott</w:t>
      </w:r>
      <w:r w:rsidR="00380A26" w:rsidRPr="00B34A3A">
        <w:t xml:space="preserve">) </w:t>
      </w:r>
      <w:r w:rsidRPr="00B34A3A">
        <w:t>vágás</w:t>
      </w:r>
      <w:r w:rsidR="00643815" w:rsidRPr="00B34A3A">
        <w:t>ra lehet</w:t>
      </w:r>
      <w:r w:rsidRPr="00B34A3A">
        <w:t xml:space="preserve">. </w:t>
      </w:r>
    </w:p>
    <w:p w:rsidR="00C27DF1" w:rsidRPr="00B34A3A" w:rsidRDefault="00C27DF1" w:rsidP="00B34A3A"/>
    <w:p w:rsidR="00DB6FB7" w:rsidRPr="00B34A3A" w:rsidRDefault="00DB6FB7" w:rsidP="00B34A3A"/>
    <w:p w:rsidR="00DB6FB7" w:rsidRPr="008A31AF" w:rsidRDefault="008A31AF" w:rsidP="008A31AF">
      <w:pPr>
        <w:pStyle w:val="Listaszerbekezds"/>
        <w:numPr>
          <w:ilvl w:val="0"/>
          <w:numId w:val="10"/>
        </w:num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</w:t>
      </w:r>
      <w:r w:rsidR="00C27DF1" w:rsidRPr="008A31AF">
        <w:rPr>
          <w:b/>
          <w:iCs/>
          <w:sz w:val="26"/>
          <w:szCs w:val="26"/>
        </w:rPr>
        <w:t>A nagylétszámú sertéstelep mentesítési te</w:t>
      </w:r>
      <w:r w:rsidR="00CC5829" w:rsidRPr="008A31AF">
        <w:rPr>
          <w:b/>
          <w:iCs/>
          <w:sz w:val="26"/>
          <w:szCs w:val="26"/>
        </w:rPr>
        <w:t>rvének járványvédelmi előírásai</w:t>
      </w:r>
    </w:p>
    <w:p w:rsidR="00DB6FB7" w:rsidRPr="00B34A3A" w:rsidRDefault="00DB6FB7" w:rsidP="00B34A3A">
      <w:pPr>
        <w:rPr>
          <w:i/>
        </w:rPr>
      </w:pPr>
    </w:p>
    <w:p w:rsidR="00DB6FB7" w:rsidRPr="00B34A3A" w:rsidRDefault="00C27DF1" w:rsidP="00B34A3A">
      <w:pPr>
        <w:pStyle w:val="Listaszerbekezds"/>
        <w:numPr>
          <w:ilvl w:val="1"/>
          <w:numId w:val="10"/>
        </w:numPr>
        <w:ind w:left="567"/>
      </w:pPr>
      <w:r w:rsidRPr="00B34A3A">
        <w:t>A 41/1997.(V.28.) FM rendelettel kiadott Állategészségügyi Szabályzat 2. számú függelékében foglalt általános járványvédelmi előírások betartását kell megkövetelni.</w:t>
      </w:r>
    </w:p>
    <w:p w:rsidR="00DB6FB7" w:rsidRPr="00B34A3A" w:rsidRDefault="00C27DF1" w:rsidP="00B34A3A">
      <w:pPr>
        <w:pStyle w:val="Listaszerbekezds"/>
        <w:numPr>
          <w:ilvl w:val="1"/>
          <w:numId w:val="10"/>
        </w:numPr>
        <w:ind w:left="567"/>
      </w:pPr>
      <w:r w:rsidRPr="00B34A3A">
        <w:t>A sertéstelepen dolgozók otthoni sertéstartásának, vagy másodállásként más</w:t>
      </w:r>
      <w:r w:rsidR="00CC5829" w:rsidRPr="00B34A3A">
        <w:t xml:space="preserve"> </w:t>
      </w:r>
      <w:r w:rsidRPr="00B34A3A">
        <w:t>sertéstartó telepen való foglalkoztatásának szabályait a mentesítési terv-ben szabályozn</w:t>
      </w:r>
      <w:r w:rsidR="00CC5829" w:rsidRPr="00B34A3A">
        <w:t>i szükséges.</w:t>
      </w:r>
    </w:p>
    <w:p w:rsidR="00DB6FB7" w:rsidRPr="00B34A3A" w:rsidRDefault="00C27DF1" w:rsidP="00B34A3A">
      <w:pPr>
        <w:pStyle w:val="Listaszerbekezds"/>
        <w:numPr>
          <w:ilvl w:val="1"/>
          <w:numId w:val="10"/>
        </w:numPr>
        <w:ind w:left="567"/>
      </w:pPr>
      <w:r w:rsidRPr="00B34A3A">
        <w:t>Telepi technológia részletes leírása (különös tekintettel a</w:t>
      </w:r>
      <w:r w:rsidRPr="00B34A3A">
        <w:rPr>
          <w:color w:val="FF0000"/>
        </w:rPr>
        <w:t xml:space="preserve"> </w:t>
      </w:r>
      <w:r w:rsidRPr="00B34A3A">
        <w:t>telepen belüli ál-latmozgásokra)</w:t>
      </w:r>
      <w:r w:rsidR="00FD2F9F">
        <w:t xml:space="preserve"> része kell legyen a mentesítési tervnek</w:t>
      </w:r>
    </w:p>
    <w:p w:rsidR="00E95748" w:rsidRDefault="00C27DF1" w:rsidP="00B34A3A">
      <w:pPr>
        <w:pStyle w:val="Listaszerbekezds"/>
        <w:numPr>
          <w:ilvl w:val="1"/>
          <w:numId w:val="10"/>
        </w:numPr>
        <w:autoSpaceDE w:val="0"/>
        <w:autoSpaceDN w:val="0"/>
        <w:adjustRightInd w:val="0"/>
        <w:ind w:left="567"/>
      </w:pPr>
      <w:r w:rsidRPr="00B34A3A">
        <w:t>A karanténozásnál, belföldi vásárlás eseté</w:t>
      </w:r>
      <w:r w:rsidR="00CC5829" w:rsidRPr="00B34A3A">
        <w:t>n a fent hivatkozott Állategész</w:t>
      </w:r>
      <w:r w:rsidRPr="00B34A3A">
        <w:t xml:space="preserve">ségügyi Szabályzat 12. számú függelék I. szakasza, míg külföldről történő vásárláskor a 12. számú függelék I. és II. szakasza szerint kell eljárni, azzal az eltéréssel, hogy a karanténozás időtartama a PRRS szempontjából minimálisan 60 nap.   </w:t>
      </w:r>
    </w:p>
    <w:p w:rsidR="00E4107E" w:rsidRDefault="00E4107E" w:rsidP="00FD2F9F"/>
    <w:p w:rsidR="00E4107E" w:rsidRDefault="00E4107E" w:rsidP="00E4107E">
      <w:pPr>
        <w:ind w:left="360"/>
      </w:pPr>
    </w:p>
    <w:p w:rsidR="00E4107E" w:rsidRDefault="00E4107E" w:rsidP="00E4107E">
      <w:pPr>
        <w:ind w:left="360"/>
      </w:pPr>
      <w:r w:rsidRPr="00B34A3A">
        <w:t xml:space="preserve">A nagylétszámú állomány mentesítési tervében előírt vakcinázás költsége szintén az állattartót terheli. Kislétszámú állományok esetében a vakcinázás nem megengedett, kivéve, ha az Országos Főállatorvos azt engedélyezi. </w:t>
      </w:r>
    </w:p>
    <w:p w:rsidR="00E4107E" w:rsidRPr="00B34A3A" w:rsidRDefault="00E4107E" w:rsidP="00E4107E">
      <w:pPr>
        <w:pStyle w:val="Listaszerbekezds"/>
        <w:autoSpaceDE w:val="0"/>
        <w:autoSpaceDN w:val="0"/>
        <w:adjustRightInd w:val="0"/>
      </w:pPr>
    </w:p>
    <w:p w:rsidR="00E95748" w:rsidRPr="00B34A3A" w:rsidRDefault="00E95748" w:rsidP="00B34A3A">
      <w:pPr>
        <w:autoSpaceDE w:val="0"/>
        <w:autoSpaceDN w:val="0"/>
        <w:adjustRightInd w:val="0"/>
      </w:pPr>
    </w:p>
    <w:p w:rsidR="007B470F" w:rsidRDefault="00E95748" w:rsidP="00B34A3A">
      <w:pPr>
        <w:autoSpaceDE w:val="0"/>
        <w:autoSpaceDN w:val="0"/>
        <w:adjustRightInd w:val="0"/>
      </w:pPr>
      <w:r w:rsidRPr="00B34A3A">
        <w:t>Budapest, 2014</w:t>
      </w:r>
      <w:r w:rsidR="0093571C" w:rsidRPr="00B34A3A">
        <w:t xml:space="preserve">. </w:t>
      </w:r>
    </w:p>
    <w:sectPr w:rsidR="007B470F" w:rsidSect="00BC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TCStoneSerif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06F"/>
    <w:multiLevelType w:val="multilevel"/>
    <w:tmpl w:val="F7C28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5E462E"/>
    <w:multiLevelType w:val="hybridMultilevel"/>
    <w:tmpl w:val="F5C662AC"/>
    <w:lvl w:ilvl="0" w:tplc="219E10C6">
      <w:start w:val="20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875C0E"/>
    <w:multiLevelType w:val="hybridMultilevel"/>
    <w:tmpl w:val="613A43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67B5D"/>
    <w:multiLevelType w:val="multilevel"/>
    <w:tmpl w:val="096A9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0D24C5"/>
    <w:multiLevelType w:val="hybridMultilevel"/>
    <w:tmpl w:val="81B81654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B841FCF"/>
    <w:multiLevelType w:val="multilevel"/>
    <w:tmpl w:val="F7C28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19A2F21"/>
    <w:multiLevelType w:val="multilevel"/>
    <w:tmpl w:val="C00AC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2A54FE"/>
    <w:multiLevelType w:val="multilevel"/>
    <w:tmpl w:val="F7C28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617C9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D5791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923C5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CB35844"/>
    <w:multiLevelType w:val="hybridMultilevel"/>
    <w:tmpl w:val="0F54871C"/>
    <w:lvl w:ilvl="0" w:tplc="040E000F">
      <w:start w:val="1"/>
      <w:numFmt w:val="decimal"/>
      <w:lvlText w:val="%1."/>
      <w:lvlJc w:val="left"/>
      <w:pPr>
        <w:ind w:left="782" w:hanging="360"/>
      </w:pPr>
    </w:lvl>
    <w:lvl w:ilvl="1" w:tplc="040E0019" w:tentative="1">
      <w:start w:val="1"/>
      <w:numFmt w:val="lowerLetter"/>
      <w:lvlText w:val="%2."/>
      <w:lvlJc w:val="left"/>
      <w:pPr>
        <w:ind w:left="1502" w:hanging="360"/>
      </w:pPr>
    </w:lvl>
    <w:lvl w:ilvl="2" w:tplc="040E001B" w:tentative="1">
      <w:start w:val="1"/>
      <w:numFmt w:val="lowerRoman"/>
      <w:lvlText w:val="%3."/>
      <w:lvlJc w:val="right"/>
      <w:pPr>
        <w:ind w:left="2222" w:hanging="180"/>
      </w:pPr>
    </w:lvl>
    <w:lvl w:ilvl="3" w:tplc="040E000F" w:tentative="1">
      <w:start w:val="1"/>
      <w:numFmt w:val="decimal"/>
      <w:lvlText w:val="%4."/>
      <w:lvlJc w:val="left"/>
      <w:pPr>
        <w:ind w:left="2942" w:hanging="360"/>
      </w:pPr>
    </w:lvl>
    <w:lvl w:ilvl="4" w:tplc="040E0019" w:tentative="1">
      <w:start w:val="1"/>
      <w:numFmt w:val="lowerLetter"/>
      <w:lvlText w:val="%5."/>
      <w:lvlJc w:val="left"/>
      <w:pPr>
        <w:ind w:left="3662" w:hanging="360"/>
      </w:pPr>
    </w:lvl>
    <w:lvl w:ilvl="5" w:tplc="040E001B" w:tentative="1">
      <w:start w:val="1"/>
      <w:numFmt w:val="lowerRoman"/>
      <w:lvlText w:val="%6."/>
      <w:lvlJc w:val="right"/>
      <w:pPr>
        <w:ind w:left="4382" w:hanging="180"/>
      </w:pPr>
    </w:lvl>
    <w:lvl w:ilvl="6" w:tplc="040E000F" w:tentative="1">
      <w:start w:val="1"/>
      <w:numFmt w:val="decimal"/>
      <w:lvlText w:val="%7."/>
      <w:lvlJc w:val="left"/>
      <w:pPr>
        <w:ind w:left="5102" w:hanging="360"/>
      </w:pPr>
    </w:lvl>
    <w:lvl w:ilvl="7" w:tplc="040E0019" w:tentative="1">
      <w:start w:val="1"/>
      <w:numFmt w:val="lowerLetter"/>
      <w:lvlText w:val="%8."/>
      <w:lvlJc w:val="left"/>
      <w:pPr>
        <w:ind w:left="5822" w:hanging="360"/>
      </w:pPr>
    </w:lvl>
    <w:lvl w:ilvl="8" w:tplc="040E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>
    <w:nsid w:val="3CF71722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3">
    <w:nsid w:val="3EDE7E75"/>
    <w:multiLevelType w:val="multilevel"/>
    <w:tmpl w:val="3AA06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3415D"/>
    <w:multiLevelType w:val="hybridMultilevel"/>
    <w:tmpl w:val="E182CC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C761C3"/>
    <w:multiLevelType w:val="hybridMultilevel"/>
    <w:tmpl w:val="A8926AB2"/>
    <w:lvl w:ilvl="0" w:tplc="040E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>
    <w:nsid w:val="467B2ECB"/>
    <w:multiLevelType w:val="hybridMultilevel"/>
    <w:tmpl w:val="DF2C47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C1FA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BFD68BF"/>
    <w:multiLevelType w:val="hybridMultilevel"/>
    <w:tmpl w:val="52EEC5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AD05F5"/>
    <w:multiLevelType w:val="multilevel"/>
    <w:tmpl w:val="2CF2A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5770BE1"/>
    <w:multiLevelType w:val="hybridMultilevel"/>
    <w:tmpl w:val="A8A2C2E0"/>
    <w:lvl w:ilvl="0" w:tplc="040E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1">
    <w:nsid w:val="557D71B9"/>
    <w:multiLevelType w:val="hybridMultilevel"/>
    <w:tmpl w:val="9F761C7C"/>
    <w:lvl w:ilvl="0" w:tplc="47DC262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C34D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8C7DE5"/>
    <w:multiLevelType w:val="multilevel"/>
    <w:tmpl w:val="C00AC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7176827"/>
    <w:multiLevelType w:val="hybridMultilevel"/>
    <w:tmpl w:val="D996017A"/>
    <w:lvl w:ilvl="0" w:tplc="040E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851590B"/>
    <w:multiLevelType w:val="hybridMultilevel"/>
    <w:tmpl w:val="83FCF49C"/>
    <w:lvl w:ilvl="0" w:tplc="040E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>
    <w:nsid w:val="5A2636BE"/>
    <w:multiLevelType w:val="hybridMultilevel"/>
    <w:tmpl w:val="B7002010"/>
    <w:lvl w:ilvl="0" w:tplc="75A0D72E">
      <w:start w:val="1"/>
      <w:numFmt w:val="decimal"/>
      <w:lvlText w:val="(%1)"/>
      <w:lvlJc w:val="left"/>
      <w:pPr>
        <w:ind w:left="765" w:hanging="5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DF559FD"/>
    <w:multiLevelType w:val="hybridMultilevel"/>
    <w:tmpl w:val="0EB8228C"/>
    <w:lvl w:ilvl="0" w:tplc="0EF4E89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215018"/>
    <w:multiLevelType w:val="multilevel"/>
    <w:tmpl w:val="C00AC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7C24719"/>
    <w:multiLevelType w:val="multilevel"/>
    <w:tmpl w:val="096A9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AF3489B"/>
    <w:multiLevelType w:val="multilevel"/>
    <w:tmpl w:val="C00AC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5C23BA"/>
    <w:multiLevelType w:val="hybridMultilevel"/>
    <w:tmpl w:val="C4EC43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6158D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A30231"/>
    <w:multiLevelType w:val="multilevel"/>
    <w:tmpl w:val="C8340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87909CD"/>
    <w:multiLevelType w:val="multilevel"/>
    <w:tmpl w:val="55229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FA0766D"/>
    <w:multiLevelType w:val="multilevel"/>
    <w:tmpl w:val="F7C28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33"/>
  </w:num>
  <w:num w:numId="4">
    <w:abstractNumId w:val="21"/>
  </w:num>
  <w:num w:numId="5">
    <w:abstractNumId w:val="25"/>
  </w:num>
  <w:num w:numId="6">
    <w:abstractNumId w:val="27"/>
  </w:num>
  <w:num w:numId="7">
    <w:abstractNumId w:val="1"/>
  </w:num>
  <w:num w:numId="8">
    <w:abstractNumId w:val="18"/>
  </w:num>
  <w:num w:numId="9">
    <w:abstractNumId w:val="31"/>
  </w:num>
  <w:num w:numId="10">
    <w:abstractNumId w:val="19"/>
  </w:num>
  <w:num w:numId="11">
    <w:abstractNumId w:val="4"/>
  </w:num>
  <w:num w:numId="12">
    <w:abstractNumId w:val="34"/>
  </w:num>
  <w:num w:numId="13">
    <w:abstractNumId w:val="11"/>
  </w:num>
  <w:num w:numId="14">
    <w:abstractNumId w:val="20"/>
  </w:num>
  <w:num w:numId="15">
    <w:abstractNumId w:val="16"/>
  </w:num>
  <w:num w:numId="16">
    <w:abstractNumId w:val="10"/>
  </w:num>
  <w:num w:numId="17">
    <w:abstractNumId w:val="26"/>
  </w:num>
  <w:num w:numId="18">
    <w:abstractNumId w:val="12"/>
  </w:num>
  <w:num w:numId="19">
    <w:abstractNumId w:val="6"/>
  </w:num>
  <w:num w:numId="20">
    <w:abstractNumId w:val="23"/>
  </w:num>
  <w:num w:numId="21">
    <w:abstractNumId w:val="30"/>
  </w:num>
  <w:num w:numId="22">
    <w:abstractNumId w:val="32"/>
  </w:num>
  <w:num w:numId="23">
    <w:abstractNumId w:val="17"/>
  </w:num>
  <w:num w:numId="24">
    <w:abstractNumId w:val="13"/>
  </w:num>
  <w:num w:numId="25">
    <w:abstractNumId w:val="5"/>
  </w:num>
  <w:num w:numId="26">
    <w:abstractNumId w:val="9"/>
  </w:num>
  <w:num w:numId="27">
    <w:abstractNumId w:val="22"/>
  </w:num>
  <w:num w:numId="28">
    <w:abstractNumId w:val="7"/>
  </w:num>
  <w:num w:numId="29">
    <w:abstractNumId w:val="3"/>
  </w:num>
  <w:num w:numId="30">
    <w:abstractNumId w:val="29"/>
  </w:num>
  <w:num w:numId="31">
    <w:abstractNumId w:val="35"/>
  </w:num>
  <w:num w:numId="32">
    <w:abstractNumId w:val="0"/>
  </w:num>
  <w:num w:numId="33">
    <w:abstractNumId w:val="24"/>
  </w:num>
  <w:num w:numId="34">
    <w:abstractNumId w:val="8"/>
  </w:num>
  <w:num w:numId="35">
    <w:abstractNumId w:val="2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D75CC0"/>
    <w:rsid w:val="00000CAE"/>
    <w:rsid w:val="0001186E"/>
    <w:rsid w:val="00014F2C"/>
    <w:rsid w:val="000229D7"/>
    <w:rsid w:val="00023D82"/>
    <w:rsid w:val="00061CB3"/>
    <w:rsid w:val="00062FE0"/>
    <w:rsid w:val="0006746F"/>
    <w:rsid w:val="00086FC6"/>
    <w:rsid w:val="00087EF9"/>
    <w:rsid w:val="000933D8"/>
    <w:rsid w:val="00096FB9"/>
    <w:rsid w:val="000A619A"/>
    <w:rsid w:val="000A6A27"/>
    <w:rsid w:val="000A6DC3"/>
    <w:rsid w:val="000C75EC"/>
    <w:rsid w:val="000E029F"/>
    <w:rsid w:val="000E0B44"/>
    <w:rsid w:val="000E7028"/>
    <w:rsid w:val="000E7B11"/>
    <w:rsid w:val="000F19F5"/>
    <w:rsid w:val="000F262F"/>
    <w:rsid w:val="00111710"/>
    <w:rsid w:val="00112AB2"/>
    <w:rsid w:val="00121C0E"/>
    <w:rsid w:val="0012695B"/>
    <w:rsid w:val="0012768B"/>
    <w:rsid w:val="0013162B"/>
    <w:rsid w:val="001319B9"/>
    <w:rsid w:val="00136BD0"/>
    <w:rsid w:val="0014313D"/>
    <w:rsid w:val="001447E2"/>
    <w:rsid w:val="0014625D"/>
    <w:rsid w:val="001663D9"/>
    <w:rsid w:val="00167EF4"/>
    <w:rsid w:val="00172591"/>
    <w:rsid w:val="001730FD"/>
    <w:rsid w:val="0017797C"/>
    <w:rsid w:val="00180079"/>
    <w:rsid w:val="00180519"/>
    <w:rsid w:val="001856C6"/>
    <w:rsid w:val="001925D5"/>
    <w:rsid w:val="0019289A"/>
    <w:rsid w:val="001A1F58"/>
    <w:rsid w:val="001A2B68"/>
    <w:rsid w:val="001A338C"/>
    <w:rsid w:val="001A4CF7"/>
    <w:rsid w:val="001B4D36"/>
    <w:rsid w:val="001B5CF5"/>
    <w:rsid w:val="001B60FF"/>
    <w:rsid w:val="001D2C8F"/>
    <w:rsid w:val="001D6D56"/>
    <w:rsid w:val="001E78CA"/>
    <w:rsid w:val="001F207B"/>
    <w:rsid w:val="001F5BC4"/>
    <w:rsid w:val="00200680"/>
    <w:rsid w:val="0020465A"/>
    <w:rsid w:val="00207340"/>
    <w:rsid w:val="00215424"/>
    <w:rsid w:val="00221C7D"/>
    <w:rsid w:val="0023090B"/>
    <w:rsid w:val="00237D88"/>
    <w:rsid w:val="002418C0"/>
    <w:rsid w:val="00250B52"/>
    <w:rsid w:val="002800D4"/>
    <w:rsid w:val="002858E3"/>
    <w:rsid w:val="00286719"/>
    <w:rsid w:val="002A0685"/>
    <w:rsid w:val="002B2C7A"/>
    <w:rsid w:val="002C3B3B"/>
    <w:rsid w:val="002C3C29"/>
    <w:rsid w:val="002C717F"/>
    <w:rsid w:val="002D23C7"/>
    <w:rsid w:val="002D5CCB"/>
    <w:rsid w:val="002E3B03"/>
    <w:rsid w:val="002F2712"/>
    <w:rsid w:val="003107D3"/>
    <w:rsid w:val="00332212"/>
    <w:rsid w:val="00346580"/>
    <w:rsid w:val="0034733F"/>
    <w:rsid w:val="00360DE3"/>
    <w:rsid w:val="003624D6"/>
    <w:rsid w:val="00380A26"/>
    <w:rsid w:val="00391311"/>
    <w:rsid w:val="003958A6"/>
    <w:rsid w:val="003A6226"/>
    <w:rsid w:val="003B053D"/>
    <w:rsid w:val="003B1462"/>
    <w:rsid w:val="003C6F61"/>
    <w:rsid w:val="003E3715"/>
    <w:rsid w:val="003E3ECC"/>
    <w:rsid w:val="0041109F"/>
    <w:rsid w:val="00413512"/>
    <w:rsid w:val="00414119"/>
    <w:rsid w:val="004231FD"/>
    <w:rsid w:val="00445F14"/>
    <w:rsid w:val="0045179D"/>
    <w:rsid w:val="004558A5"/>
    <w:rsid w:val="004617E2"/>
    <w:rsid w:val="004640AE"/>
    <w:rsid w:val="0047287A"/>
    <w:rsid w:val="004923DD"/>
    <w:rsid w:val="004A3365"/>
    <w:rsid w:val="004A6C08"/>
    <w:rsid w:val="004B0DD9"/>
    <w:rsid w:val="004C1C6B"/>
    <w:rsid w:val="004C2F96"/>
    <w:rsid w:val="004C3EAE"/>
    <w:rsid w:val="004D6047"/>
    <w:rsid w:val="004D7A0E"/>
    <w:rsid w:val="00500920"/>
    <w:rsid w:val="00507DFA"/>
    <w:rsid w:val="00511958"/>
    <w:rsid w:val="00512F3E"/>
    <w:rsid w:val="00547A86"/>
    <w:rsid w:val="00551F87"/>
    <w:rsid w:val="00561AAA"/>
    <w:rsid w:val="00565347"/>
    <w:rsid w:val="00575D25"/>
    <w:rsid w:val="00583D01"/>
    <w:rsid w:val="00590AA3"/>
    <w:rsid w:val="00590EEB"/>
    <w:rsid w:val="00592C00"/>
    <w:rsid w:val="00592CA4"/>
    <w:rsid w:val="005A5784"/>
    <w:rsid w:val="005B06C7"/>
    <w:rsid w:val="005D5E38"/>
    <w:rsid w:val="005D7283"/>
    <w:rsid w:val="005E27E0"/>
    <w:rsid w:val="005E32EB"/>
    <w:rsid w:val="005F0C66"/>
    <w:rsid w:val="005F4028"/>
    <w:rsid w:val="005F6916"/>
    <w:rsid w:val="00607C5F"/>
    <w:rsid w:val="006131A4"/>
    <w:rsid w:val="006178A5"/>
    <w:rsid w:val="00622070"/>
    <w:rsid w:val="0062459C"/>
    <w:rsid w:val="00643202"/>
    <w:rsid w:val="00643815"/>
    <w:rsid w:val="00650C29"/>
    <w:rsid w:val="0066463F"/>
    <w:rsid w:val="00674191"/>
    <w:rsid w:val="0068141B"/>
    <w:rsid w:val="00685E37"/>
    <w:rsid w:val="006B555B"/>
    <w:rsid w:val="006B7FCC"/>
    <w:rsid w:val="006F4456"/>
    <w:rsid w:val="006F6331"/>
    <w:rsid w:val="00701743"/>
    <w:rsid w:val="00712FCC"/>
    <w:rsid w:val="00720A7A"/>
    <w:rsid w:val="007438BA"/>
    <w:rsid w:val="007704E2"/>
    <w:rsid w:val="00782721"/>
    <w:rsid w:val="00784A5E"/>
    <w:rsid w:val="00791C38"/>
    <w:rsid w:val="007A5B5E"/>
    <w:rsid w:val="007B1FBC"/>
    <w:rsid w:val="007B470F"/>
    <w:rsid w:val="007B650B"/>
    <w:rsid w:val="007C1F31"/>
    <w:rsid w:val="007D1D22"/>
    <w:rsid w:val="007E0D52"/>
    <w:rsid w:val="007E1169"/>
    <w:rsid w:val="007E2D3F"/>
    <w:rsid w:val="007E509B"/>
    <w:rsid w:val="007E544E"/>
    <w:rsid w:val="007F0CD0"/>
    <w:rsid w:val="007F697B"/>
    <w:rsid w:val="00807927"/>
    <w:rsid w:val="00811237"/>
    <w:rsid w:val="00815F86"/>
    <w:rsid w:val="0082092D"/>
    <w:rsid w:val="00841DB2"/>
    <w:rsid w:val="00842891"/>
    <w:rsid w:val="00844C68"/>
    <w:rsid w:val="00846F56"/>
    <w:rsid w:val="008525B9"/>
    <w:rsid w:val="00861044"/>
    <w:rsid w:val="008628CC"/>
    <w:rsid w:val="00871115"/>
    <w:rsid w:val="00874F97"/>
    <w:rsid w:val="00881FBB"/>
    <w:rsid w:val="008A0A0E"/>
    <w:rsid w:val="008A31AF"/>
    <w:rsid w:val="008A42BA"/>
    <w:rsid w:val="008A71CD"/>
    <w:rsid w:val="008B62B1"/>
    <w:rsid w:val="008C0CA1"/>
    <w:rsid w:val="008C10E6"/>
    <w:rsid w:val="008C2874"/>
    <w:rsid w:val="008C6EEA"/>
    <w:rsid w:val="008D22BA"/>
    <w:rsid w:val="008D5C65"/>
    <w:rsid w:val="008D677D"/>
    <w:rsid w:val="008D6BB7"/>
    <w:rsid w:val="008F6119"/>
    <w:rsid w:val="008F755E"/>
    <w:rsid w:val="0090059D"/>
    <w:rsid w:val="00912107"/>
    <w:rsid w:val="0091647D"/>
    <w:rsid w:val="00917A57"/>
    <w:rsid w:val="009351F9"/>
    <w:rsid w:val="0093571C"/>
    <w:rsid w:val="009416A2"/>
    <w:rsid w:val="00980413"/>
    <w:rsid w:val="00991253"/>
    <w:rsid w:val="009A2D05"/>
    <w:rsid w:val="009B3870"/>
    <w:rsid w:val="009C17D7"/>
    <w:rsid w:val="009C40D5"/>
    <w:rsid w:val="009D265E"/>
    <w:rsid w:val="009E454F"/>
    <w:rsid w:val="009F21A4"/>
    <w:rsid w:val="009F5B93"/>
    <w:rsid w:val="00A04606"/>
    <w:rsid w:val="00A11DD5"/>
    <w:rsid w:val="00A15804"/>
    <w:rsid w:val="00A264C4"/>
    <w:rsid w:val="00A30698"/>
    <w:rsid w:val="00A34CBF"/>
    <w:rsid w:val="00A37447"/>
    <w:rsid w:val="00A50A31"/>
    <w:rsid w:val="00A61C5F"/>
    <w:rsid w:val="00A6778A"/>
    <w:rsid w:val="00A720A9"/>
    <w:rsid w:val="00A95351"/>
    <w:rsid w:val="00A96373"/>
    <w:rsid w:val="00AA6645"/>
    <w:rsid w:val="00AC0DCA"/>
    <w:rsid w:val="00AC0FBD"/>
    <w:rsid w:val="00AC5DD8"/>
    <w:rsid w:val="00AD6DB0"/>
    <w:rsid w:val="00AE5D66"/>
    <w:rsid w:val="00AF3FCA"/>
    <w:rsid w:val="00AF4C8F"/>
    <w:rsid w:val="00B13AF5"/>
    <w:rsid w:val="00B25A5D"/>
    <w:rsid w:val="00B27773"/>
    <w:rsid w:val="00B34A3A"/>
    <w:rsid w:val="00B34E59"/>
    <w:rsid w:val="00B40928"/>
    <w:rsid w:val="00B463D2"/>
    <w:rsid w:val="00B5068F"/>
    <w:rsid w:val="00B57CD6"/>
    <w:rsid w:val="00B73215"/>
    <w:rsid w:val="00B8109B"/>
    <w:rsid w:val="00BA3B91"/>
    <w:rsid w:val="00BB0259"/>
    <w:rsid w:val="00BC0978"/>
    <w:rsid w:val="00BC28D6"/>
    <w:rsid w:val="00BC4554"/>
    <w:rsid w:val="00BD16F5"/>
    <w:rsid w:val="00BE1148"/>
    <w:rsid w:val="00BE226E"/>
    <w:rsid w:val="00BF3A33"/>
    <w:rsid w:val="00C12BB3"/>
    <w:rsid w:val="00C13F3F"/>
    <w:rsid w:val="00C222EE"/>
    <w:rsid w:val="00C27DF1"/>
    <w:rsid w:val="00C312B5"/>
    <w:rsid w:val="00C42377"/>
    <w:rsid w:val="00C65728"/>
    <w:rsid w:val="00C710AF"/>
    <w:rsid w:val="00C9669E"/>
    <w:rsid w:val="00C9794C"/>
    <w:rsid w:val="00CB6E5A"/>
    <w:rsid w:val="00CC10DE"/>
    <w:rsid w:val="00CC5829"/>
    <w:rsid w:val="00CC6E4D"/>
    <w:rsid w:val="00CE2583"/>
    <w:rsid w:val="00CE50FD"/>
    <w:rsid w:val="00CF63D6"/>
    <w:rsid w:val="00D1696E"/>
    <w:rsid w:val="00D21D37"/>
    <w:rsid w:val="00D30B16"/>
    <w:rsid w:val="00D329B9"/>
    <w:rsid w:val="00D43889"/>
    <w:rsid w:val="00D53B65"/>
    <w:rsid w:val="00D662AB"/>
    <w:rsid w:val="00D73699"/>
    <w:rsid w:val="00D747EC"/>
    <w:rsid w:val="00D75CC0"/>
    <w:rsid w:val="00D812F8"/>
    <w:rsid w:val="00D823C6"/>
    <w:rsid w:val="00D91974"/>
    <w:rsid w:val="00D91D40"/>
    <w:rsid w:val="00DA1CFE"/>
    <w:rsid w:val="00DA3DB4"/>
    <w:rsid w:val="00DB52FE"/>
    <w:rsid w:val="00DB6FB7"/>
    <w:rsid w:val="00DC0832"/>
    <w:rsid w:val="00DD3203"/>
    <w:rsid w:val="00DE04BF"/>
    <w:rsid w:val="00DE3404"/>
    <w:rsid w:val="00DE4857"/>
    <w:rsid w:val="00DE596E"/>
    <w:rsid w:val="00DE7640"/>
    <w:rsid w:val="00DF1558"/>
    <w:rsid w:val="00E04437"/>
    <w:rsid w:val="00E10454"/>
    <w:rsid w:val="00E13883"/>
    <w:rsid w:val="00E2499C"/>
    <w:rsid w:val="00E3251F"/>
    <w:rsid w:val="00E3730F"/>
    <w:rsid w:val="00E4107E"/>
    <w:rsid w:val="00E44AC5"/>
    <w:rsid w:val="00E60B68"/>
    <w:rsid w:val="00E8205A"/>
    <w:rsid w:val="00E92DBD"/>
    <w:rsid w:val="00E95748"/>
    <w:rsid w:val="00EA1C3C"/>
    <w:rsid w:val="00EB396C"/>
    <w:rsid w:val="00EB3B8E"/>
    <w:rsid w:val="00EE5E63"/>
    <w:rsid w:val="00EF64FA"/>
    <w:rsid w:val="00F249B2"/>
    <w:rsid w:val="00F25171"/>
    <w:rsid w:val="00F409FD"/>
    <w:rsid w:val="00F604C6"/>
    <w:rsid w:val="00F61752"/>
    <w:rsid w:val="00F76F8F"/>
    <w:rsid w:val="00F83F89"/>
    <w:rsid w:val="00F85FC1"/>
    <w:rsid w:val="00F8601E"/>
    <w:rsid w:val="00FA45B5"/>
    <w:rsid w:val="00FA7C8F"/>
    <w:rsid w:val="00FD2F9F"/>
    <w:rsid w:val="00FD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5CC0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D5E38"/>
    <w:pPr>
      <w:keepNext/>
      <w:numPr>
        <w:numId w:val="18"/>
      </w:numPr>
      <w:outlineLvl w:val="0"/>
    </w:pPr>
    <w:rPr>
      <w:i/>
      <w:i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1752"/>
    <w:pPr>
      <w:keepNext/>
      <w:numPr>
        <w:ilvl w:val="1"/>
        <w:numId w:val="1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1752"/>
    <w:pPr>
      <w:keepNext/>
      <w:numPr>
        <w:ilvl w:val="2"/>
        <w:numId w:val="1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1752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1752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1752"/>
    <w:pPr>
      <w:numPr>
        <w:ilvl w:val="5"/>
        <w:numId w:val="1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1752"/>
    <w:pPr>
      <w:numPr>
        <w:ilvl w:val="6"/>
        <w:numId w:val="18"/>
      </w:numPr>
      <w:spacing w:before="240" w:after="6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1752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1752"/>
    <w:pPr>
      <w:numPr>
        <w:ilvl w:val="8"/>
        <w:numId w:val="1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5CC0"/>
    <w:pPr>
      <w:ind w:left="708"/>
    </w:pPr>
  </w:style>
  <w:style w:type="paragraph" w:styleId="Cm">
    <w:name w:val="Title"/>
    <w:basedOn w:val="Norml"/>
    <w:link w:val="CmChar"/>
    <w:qFormat/>
    <w:rsid w:val="00D75CC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75CC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5CC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5CC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rsid w:val="005D5E38"/>
    <w:rPr>
      <w:rFonts w:ascii="Times New Roman" w:eastAsia="Times New Roman" w:hAnsi="Times New Roman"/>
      <w:i/>
      <w:iCs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47A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7A8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7A86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7A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7A86"/>
    <w:rPr>
      <w:rFonts w:ascii="Times New Roman" w:eastAsia="Times New Roman" w:hAnsi="Times New Roman"/>
      <w:b/>
      <w:bCs/>
    </w:rPr>
  </w:style>
  <w:style w:type="table" w:styleId="Rcsostblzat">
    <w:name w:val="Table Grid"/>
    <w:basedOn w:val="Normltblzat"/>
    <w:uiPriority w:val="59"/>
    <w:rsid w:val="00C312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F6331"/>
    <w:pPr>
      <w:tabs>
        <w:tab w:val="center" w:pos="4536"/>
        <w:tab w:val="right" w:pos="9072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F6331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F61752"/>
    <w:pPr>
      <w:spacing w:before="100" w:beforeAutospacing="1" w:after="100" w:afterAutospacing="1"/>
      <w:jc w:val="left"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F617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17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17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17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175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1752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175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1752"/>
    <w:rPr>
      <w:rFonts w:ascii="Cambria" w:eastAsia="Times New Roman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BC293-6E98-4BA7-9430-B08F122D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6594</Words>
  <Characters>45500</Characters>
  <Application>Microsoft Office Word</Application>
  <DocSecurity>0</DocSecurity>
  <Lines>379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istvan.szabo</dc:creator>
  <cp:lastModifiedBy>terjekzs</cp:lastModifiedBy>
  <cp:revision>2</cp:revision>
  <cp:lastPrinted>2014-03-31T12:03:00Z</cp:lastPrinted>
  <dcterms:created xsi:type="dcterms:W3CDTF">2014-12-18T08:22:00Z</dcterms:created>
  <dcterms:modified xsi:type="dcterms:W3CDTF">2014-12-18T08:22:00Z</dcterms:modified>
</cp:coreProperties>
</file>