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B3" w:rsidRPr="00086959" w:rsidRDefault="000B76B3" w:rsidP="00086959">
      <w:pPr>
        <w:spacing w:after="0"/>
        <w:rPr>
          <w:b/>
          <w:sz w:val="28"/>
          <w:szCs w:val="28"/>
        </w:rPr>
      </w:pPr>
      <w:r w:rsidRPr="00086959">
        <w:rPr>
          <w:b/>
          <w:sz w:val="28"/>
          <w:szCs w:val="28"/>
        </w:rPr>
        <w:t xml:space="preserve">3. Élelmiszerlánc-biztonsági események és kezelésük </w:t>
      </w:r>
    </w:p>
    <w:p w:rsidR="000001C9" w:rsidRPr="00086959" w:rsidRDefault="000B76B3" w:rsidP="00086959">
      <w:pPr>
        <w:spacing w:after="0"/>
        <w:rPr>
          <w:b/>
          <w:sz w:val="28"/>
          <w:szCs w:val="28"/>
        </w:rPr>
      </w:pPr>
      <w:proofErr w:type="gramStart"/>
      <w:r w:rsidRPr="00086959">
        <w:rPr>
          <w:b/>
          <w:sz w:val="28"/>
          <w:szCs w:val="28"/>
        </w:rPr>
        <w:t>dr.</w:t>
      </w:r>
      <w:proofErr w:type="gramEnd"/>
      <w:r w:rsidRPr="00086959">
        <w:rPr>
          <w:b/>
          <w:sz w:val="28"/>
          <w:szCs w:val="28"/>
        </w:rPr>
        <w:t xml:space="preserve"> Barna Sarolta (</w:t>
      </w:r>
      <w:proofErr w:type="spellStart"/>
      <w:r w:rsidRPr="00086959">
        <w:rPr>
          <w:b/>
          <w:bCs/>
          <w:sz w:val="28"/>
          <w:szCs w:val="28"/>
        </w:rPr>
        <w:t>barnas</w:t>
      </w:r>
      <w:proofErr w:type="spellEnd"/>
      <w:r w:rsidRPr="00086959">
        <w:rPr>
          <w:b/>
          <w:bCs/>
          <w:sz w:val="28"/>
          <w:szCs w:val="28"/>
        </w:rPr>
        <w:t>@nebih.gov.hu</w:t>
      </w:r>
      <w:r w:rsidRPr="00086959">
        <w:rPr>
          <w:b/>
          <w:sz w:val="28"/>
          <w:szCs w:val="28"/>
        </w:rPr>
        <w:t>), 2016. március 16.</w:t>
      </w:r>
    </w:p>
    <w:p w:rsidR="00086959" w:rsidRPr="00086959" w:rsidRDefault="00086959" w:rsidP="00086959">
      <w:pPr>
        <w:spacing w:after="0"/>
        <w:rPr>
          <w:b/>
          <w:sz w:val="28"/>
          <w:szCs w:val="28"/>
        </w:rPr>
      </w:pPr>
    </w:p>
    <w:p w:rsidR="000B76B3" w:rsidRDefault="00086959" w:rsidP="00086959">
      <w:pPr>
        <w:spacing w:after="0"/>
        <w:rPr>
          <w:b/>
          <w:color w:val="FF0000"/>
        </w:rPr>
      </w:pPr>
      <w:r>
        <w:rPr>
          <w:b/>
          <w:color w:val="FF0000"/>
        </w:rPr>
        <w:t>(</w:t>
      </w:r>
      <w:r w:rsidR="000B76B3" w:rsidRPr="000B76B3">
        <w:rPr>
          <w:b/>
          <w:color w:val="FF0000"/>
        </w:rPr>
        <w:t>Pirossal kiemelten a vizsga során kérdezett részek.</w:t>
      </w:r>
      <w:r>
        <w:rPr>
          <w:b/>
          <w:color w:val="FF0000"/>
        </w:rPr>
        <w:t>)</w:t>
      </w:r>
    </w:p>
    <w:p w:rsidR="00086959" w:rsidRPr="000B76B3" w:rsidRDefault="00086959" w:rsidP="00086959">
      <w:pPr>
        <w:spacing w:after="0"/>
        <w:rPr>
          <w:b/>
          <w:color w:val="FF0000"/>
        </w:rPr>
      </w:pPr>
    </w:p>
    <w:p w:rsidR="000B76B3" w:rsidRPr="009A5601" w:rsidRDefault="000B76B3" w:rsidP="00086959">
      <w:pPr>
        <w:spacing w:after="0"/>
        <w:rPr>
          <w:b/>
          <w:color w:val="FF0000"/>
          <w:u w:val="single"/>
        </w:rPr>
      </w:pPr>
      <w:r w:rsidRPr="00086959">
        <w:rPr>
          <w:b/>
          <w:color w:val="FF0000"/>
        </w:rPr>
        <w:t>Élelmiszerbiztonság</w:t>
      </w:r>
      <w:r w:rsidR="009A5601">
        <w:rPr>
          <w:b/>
          <w:color w:val="FF0000"/>
        </w:rPr>
        <w:t xml:space="preserve"> (definíció</w:t>
      </w:r>
      <w:r w:rsidR="009A5601" w:rsidRPr="009A5601">
        <w:rPr>
          <w:b/>
          <w:color w:val="FF0000"/>
        </w:rPr>
        <w:t>)</w:t>
      </w:r>
      <w:r w:rsidRPr="009A5601">
        <w:rPr>
          <w:b/>
          <w:color w:val="FF0000"/>
        </w:rPr>
        <w:t xml:space="preserve">: Annak biztosítása, hogy az élelmiszer sem rövid, sem hosszú távon nem okoz egészségügyi ártalmat, </w:t>
      </w:r>
      <w:r w:rsidRPr="009A5601">
        <w:rPr>
          <w:b/>
          <w:color w:val="FF0000"/>
          <w:u w:val="single"/>
        </w:rPr>
        <w:t>ha rendeltetésszerűen készítik és fogyasztják el.</w:t>
      </w:r>
    </w:p>
    <w:p w:rsidR="00086959" w:rsidRDefault="000B76B3" w:rsidP="00086959">
      <w:pPr>
        <w:pStyle w:val="Listaszerbekezds"/>
        <w:numPr>
          <w:ilvl w:val="0"/>
          <w:numId w:val="3"/>
        </w:numPr>
        <w:spacing w:after="0"/>
        <w:rPr>
          <w:color w:val="FF0000"/>
        </w:rPr>
      </w:pPr>
      <w:r>
        <w:rPr>
          <w:color w:val="FF0000"/>
        </w:rPr>
        <w:t xml:space="preserve">„Rendeltetésszerűen”: pl. fürjtojásból készített </w:t>
      </w:r>
      <w:proofErr w:type="spellStart"/>
      <w:r>
        <w:rPr>
          <w:color w:val="FF0000"/>
        </w:rPr>
        <w:t>csokitojás</w:t>
      </w:r>
      <w:proofErr w:type="spellEnd"/>
      <w:r>
        <w:rPr>
          <w:color w:val="FF0000"/>
        </w:rPr>
        <w:t xml:space="preserve"> szalmonellát okozhat</w:t>
      </w:r>
      <w:r w:rsidR="009A5601">
        <w:rPr>
          <w:color w:val="FF0000"/>
        </w:rPr>
        <w:t>, így elkészíteni nem szabad – ettől függetlenül a fürjtojás önmagában nem veszélyes élelmiszer</w:t>
      </w:r>
    </w:p>
    <w:p w:rsidR="00086959" w:rsidRDefault="00B97436" w:rsidP="00086959">
      <w:pPr>
        <w:pStyle w:val="Listaszerbekezds"/>
        <w:numPr>
          <w:ilvl w:val="0"/>
          <w:numId w:val="3"/>
        </w:numPr>
        <w:spacing w:after="0"/>
        <w:rPr>
          <w:color w:val="FF0000"/>
        </w:rPr>
      </w:pPr>
      <w:r w:rsidRPr="00086959">
        <w:rPr>
          <w:color w:val="FF0000"/>
        </w:rPr>
        <w:t>Élelm</w:t>
      </w:r>
      <w:r w:rsidRPr="00086959">
        <w:rPr>
          <w:color w:val="FF0000"/>
        </w:rPr>
        <w:t>iszer</w:t>
      </w:r>
      <w:r w:rsidRPr="00086959">
        <w:rPr>
          <w:color w:val="FF0000"/>
        </w:rPr>
        <w:t>biztonság ≠ táplálkozástudomány</w:t>
      </w:r>
    </w:p>
    <w:p w:rsidR="00086959" w:rsidRDefault="00B97436" w:rsidP="00086959">
      <w:pPr>
        <w:pStyle w:val="Listaszerbekezds"/>
        <w:numPr>
          <w:ilvl w:val="0"/>
          <w:numId w:val="3"/>
        </w:numPr>
        <w:spacing w:after="0"/>
        <w:rPr>
          <w:color w:val="FF0000"/>
        </w:rPr>
      </w:pPr>
      <w:r w:rsidRPr="00086959">
        <w:rPr>
          <w:color w:val="FF0000"/>
        </w:rPr>
        <w:t>Élelmiszerbiztonság ≠ élelm</w:t>
      </w:r>
      <w:r w:rsidRPr="00086959">
        <w:rPr>
          <w:color w:val="FF0000"/>
        </w:rPr>
        <w:t>ez</w:t>
      </w:r>
      <w:r w:rsidRPr="00086959">
        <w:rPr>
          <w:color w:val="FF0000"/>
        </w:rPr>
        <w:t>és</w:t>
      </w:r>
      <w:r w:rsidRPr="00086959">
        <w:rPr>
          <w:color w:val="FF0000"/>
        </w:rPr>
        <w:t>biztonság</w:t>
      </w:r>
    </w:p>
    <w:p w:rsidR="00000000" w:rsidRDefault="00B97436" w:rsidP="00086959">
      <w:pPr>
        <w:pStyle w:val="Listaszerbekezds"/>
        <w:numPr>
          <w:ilvl w:val="0"/>
          <w:numId w:val="3"/>
        </w:numPr>
        <w:spacing w:after="0"/>
        <w:rPr>
          <w:color w:val="FF0000"/>
        </w:rPr>
      </w:pPr>
      <w:r w:rsidRPr="00086959">
        <w:rPr>
          <w:color w:val="FF0000"/>
        </w:rPr>
        <w:t>Élelmiszerbiztonság ≠ élelm</w:t>
      </w:r>
      <w:r w:rsidRPr="00086959">
        <w:rPr>
          <w:color w:val="FF0000"/>
        </w:rPr>
        <w:t>iszerlánc</w:t>
      </w:r>
      <w:r w:rsidRPr="00086959">
        <w:rPr>
          <w:color w:val="FF0000"/>
        </w:rPr>
        <w:t>-biztonság</w:t>
      </w:r>
    </w:p>
    <w:p w:rsidR="00086959" w:rsidRPr="00086959" w:rsidRDefault="00086959" w:rsidP="00086959">
      <w:pPr>
        <w:pStyle w:val="Listaszerbekezds"/>
        <w:spacing w:after="0"/>
        <w:rPr>
          <w:color w:val="FF0000"/>
        </w:rPr>
      </w:pPr>
    </w:p>
    <w:p w:rsidR="00086959" w:rsidRDefault="000B76B3" w:rsidP="00086959">
      <w:pPr>
        <w:spacing w:after="0"/>
        <w:rPr>
          <w:b/>
          <w:bCs/>
          <w:color w:val="FF0000"/>
        </w:rPr>
      </w:pPr>
      <w:r w:rsidRPr="000B76B3">
        <w:rPr>
          <w:b/>
          <w:bCs/>
          <w:color w:val="FF0000"/>
        </w:rPr>
        <w:t>Élelmezésbiztonság</w:t>
      </w:r>
    </w:p>
    <w:p w:rsidR="00000000" w:rsidRPr="00086959" w:rsidRDefault="00B97436" w:rsidP="00086959">
      <w:pPr>
        <w:pStyle w:val="Listaszerbekezds"/>
        <w:numPr>
          <w:ilvl w:val="0"/>
          <w:numId w:val="5"/>
        </w:numPr>
        <w:spacing w:after="0"/>
        <w:rPr>
          <w:b/>
          <w:bCs/>
          <w:color w:val="FF0000"/>
        </w:rPr>
      </w:pPr>
      <w:r w:rsidRPr="00086959">
        <w:rPr>
          <w:color w:val="FF0000"/>
        </w:rPr>
        <w:t>Az élelmiszer-ellátás biztonsága</w:t>
      </w:r>
    </w:p>
    <w:p w:rsidR="00000000" w:rsidRPr="000B76B3" w:rsidRDefault="00B97436" w:rsidP="00B97436">
      <w:pPr>
        <w:numPr>
          <w:ilvl w:val="1"/>
          <w:numId w:val="5"/>
        </w:numPr>
        <w:spacing w:after="0"/>
        <w:rPr>
          <w:color w:val="FF0000"/>
        </w:rPr>
      </w:pPr>
      <w:r w:rsidRPr="000B76B3">
        <w:rPr>
          <w:color w:val="FF0000"/>
        </w:rPr>
        <w:t>Elegendő mennyiség</w:t>
      </w:r>
    </w:p>
    <w:p w:rsidR="00000000" w:rsidRPr="000B76B3" w:rsidRDefault="00B97436" w:rsidP="00B97436">
      <w:pPr>
        <w:numPr>
          <w:ilvl w:val="1"/>
          <w:numId w:val="5"/>
        </w:numPr>
        <w:spacing w:after="0"/>
        <w:rPr>
          <w:color w:val="FF0000"/>
        </w:rPr>
      </w:pPr>
      <w:r w:rsidRPr="000B76B3">
        <w:rPr>
          <w:color w:val="FF0000"/>
        </w:rPr>
        <w:t>Megfelelő minőség (táplálóérték)</w:t>
      </w:r>
    </w:p>
    <w:p w:rsidR="00000000" w:rsidRPr="000B76B3" w:rsidRDefault="00B97436" w:rsidP="00B97436">
      <w:pPr>
        <w:numPr>
          <w:ilvl w:val="1"/>
          <w:numId w:val="5"/>
        </w:numPr>
        <w:spacing w:after="0"/>
        <w:rPr>
          <w:color w:val="FF0000"/>
        </w:rPr>
      </w:pPr>
      <w:r w:rsidRPr="000B76B3">
        <w:rPr>
          <w:color w:val="FF0000"/>
        </w:rPr>
        <w:t>Biztonság</w:t>
      </w:r>
    </w:p>
    <w:p w:rsidR="00000000" w:rsidRPr="00086959" w:rsidRDefault="00B97436" w:rsidP="00B97436">
      <w:pPr>
        <w:numPr>
          <w:ilvl w:val="1"/>
          <w:numId w:val="5"/>
        </w:numPr>
        <w:spacing w:after="0"/>
        <w:rPr>
          <w:color w:val="FF0000"/>
        </w:rPr>
      </w:pPr>
      <w:r w:rsidRPr="000B76B3">
        <w:rPr>
          <w:color w:val="FF0000"/>
        </w:rPr>
        <w:t>Fenntarthatóság</w:t>
      </w:r>
      <w:r w:rsidRPr="000B76B3">
        <w:rPr>
          <w:color w:val="FF0000"/>
          <w:lang w:val="en-US"/>
        </w:rPr>
        <w:t xml:space="preserve"> </w:t>
      </w:r>
      <w:r w:rsidR="000B76B3">
        <w:rPr>
          <w:color w:val="FF0000"/>
          <w:lang w:val="en-US"/>
        </w:rPr>
        <w:t>(</w:t>
      </w:r>
      <w:proofErr w:type="gramStart"/>
      <w:r w:rsidR="000B76B3">
        <w:rPr>
          <w:color w:val="FF0000"/>
          <w:lang w:val="en-US"/>
        </w:rPr>
        <w:t xml:space="preserve">pl.  </w:t>
      </w:r>
      <w:proofErr w:type="spellStart"/>
      <w:r w:rsidR="000B76B3">
        <w:rPr>
          <w:color w:val="FF0000"/>
          <w:lang w:val="en-US"/>
        </w:rPr>
        <w:t>egy</w:t>
      </w:r>
      <w:proofErr w:type="spellEnd"/>
      <w:proofErr w:type="gramEnd"/>
      <w:r w:rsidR="000B76B3">
        <w:rPr>
          <w:color w:val="FF0000"/>
          <w:lang w:val="en-US"/>
        </w:rPr>
        <w:t xml:space="preserve"> </w:t>
      </w:r>
      <w:proofErr w:type="spellStart"/>
      <w:r w:rsidR="000B76B3">
        <w:rPr>
          <w:color w:val="FF0000"/>
          <w:lang w:val="en-US"/>
        </w:rPr>
        <w:t>tó</w:t>
      </w:r>
      <w:proofErr w:type="spellEnd"/>
      <w:r w:rsidR="000B76B3">
        <w:rPr>
          <w:color w:val="FF0000"/>
          <w:lang w:val="en-US"/>
        </w:rPr>
        <w:t xml:space="preserve"> </w:t>
      </w:r>
      <w:proofErr w:type="spellStart"/>
      <w:r w:rsidR="000B76B3">
        <w:rPr>
          <w:color w:val="FF0000"/>
          <w:lang w:val="en-US"/>
        </w:rPr>
        <w:t>túl</w:t>
      </w:r>
      <w:proofErr w:type="spellEnd"/>
      <w:r w:rsidR="000B76B3">
        <w:rPr>
          <w:color w:val="FF0000"/>
          <w:lang w:val="en-US"/>
        </w:rPr>
        <w:t xml:space="preserve"> </w:t>
      </w:r>
      <w:proofErr w:type="spellStart"/>
      <w:r w:rsidR="000B76B3">
        <w:rPr>
          <w:color w:val="FF0000"/>
          <w:lang w:val="en-US"/>
        </w:rPr>
        <w:t>gyakori</w:t>
      </w:r>
      <w:proofErr w:type="spellEnd"/>
      <w:r w:rsidR="000B76B3">
        <w:rPr>
          <w:color w:val="FF0000"/>
          <w:lang w:val="en-US"/>
        </w:rPr>
        <w:t xml:space="preserve"> </w:t>
      </w:r>
      <w:proofErr w:type="spellStart"/>
      <w:r w:rsidR="000B76B3">
        <w:rPr>
          <w:color w:val="FF0000"/>
          <w:lang w:val="en-US"/>
        </w:rPr>
        <w:t>lehalászása</w:t>
      </w:r>
      <w:proofErr w:type="spellEnd"/>
      <w:r w:rsidR="000B76B3">
        <w:rPr>
          <w:color w:val="FF0000"/>
          <w:lang w:val="en-US"/>
        </w:rPr>
        <w:t xml:space="preserve"> </w:t>
      </w:r>
      <w:proofErr w:type="spellStart"/>
      <w:r w:rsidR="000B76B3">
        <w:rPr>
          <w:color w:val="FF0000"/>
          <w:lang w:val="en-US"/>
        </w:rPr>
        <w:t>fenntarthatatlan</w:t>
      </w:r>
      <w:proofErr w:type="spellEnd"/>
      <w:r w:rsidR="000B76B3">
        <w:rPr>
          <w:color w:val="FF0000"/>
          <w:lang w:val="en-US"/>
        </w:rPr>
        <w:t>)</w:t>
      </w:r>
    </w:p>
    <w:p w:rsidR="00086959" w:rsidRPr="000B76B3" w:rsidRDefault="00086959" w:rsidP="00086959">
      <w:pPr>
        <w:spacing w:after="0"/>
        <w:ind w:left="720"/>
        <w:rPr>
          <w:color w:val="FF0000"/>
        </w:rPr>
      </w:pPr>
    </w:p>
    <w:p w:rsidR="00086959" w:rsidRDefault="000B76B3" w:rsidP="00086959">
      <w:pPr>
        <w:spacing w:after="0"/>
        <w:rPr>
          <w:b/>
          <w:bCs/>
        </w:rPr>
      </w:pPr>
      <w:r w:rsidRPr="000B76B3">
        <w:rPr>
          <w:b/>
          <w:bCs/>
        </w:rPr>
        <w:t>Élelmiszerlánc-biztonság</w:t>
      </w:r>
      <w:r w:rsidR="00086959">
        <w:rPr>
          <w:b/>
          <w:bCs/>
        </w:rPr>
        <w:t xml:space="preserve">: </w:t>
      </w:r>
      <w:r w:rsidRPr="000B76B3">
        <w:rPr>
          <w:b/>
          <w:bCs/>
        </w:rPr>
        <w:t>Új világ, új körülmények</w:t>
      </w:r>
    </w:p>
    <w:p w:rsidR="00086959" w:rsidRPr="00086959" w:rsidRDefault="00086959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86959">
        <w:rPr>
          <w:bCs/>
        </w:rPr>
        <w:t>élelmiszerlánc helyett ma már célszerűbb élelmiszerhálózatról beszélni, hiszen sok termék több he</w:t>
      </w:r>
      <w:r>
        <w:rPr>
          <w:bCs/>
        </w:rPr>
        <w:t>lyen is felbukkan a láncolatban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elszennyeződő környezet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nagyüzemi mezőgazdaság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tömegtermelés, óriási tételek, többmilliós adagok</w:t>
      </w:r>
      <w:r w:rsidR="00086959">
        <w:t xml:space="preserve"> (100 éve: egy családra főztek, ma: több ezer emberre)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 xml:space="preserve">az áruk szabad áramlása – nyomon követhetőség </w:t>
      </w:r>
      <w:r w:rsidR="00086959">
        <w:t xml:space="preserve">(ld. </w:t>
      </w:r>
      <w:hyperlink r:id="rId5" w:history="1">
        <w:r w:rsidR="00086959" w:rsidRPr="00086959">
          <w:rPr>
            <w:rStyle w:val="Hiperhivatkozs"/>
          </w:rPr>
          <w:t>E. coli O104</w:t>
        </w:r>
        <w:proofErr w:type="gramStart"/>
        <w:r w:rsidR="00086959" w:rsidRPr="00086959">
          <w:rPr>
            <w:rStyle w:val="Hiperhivatkozs"/>
          </w:rPr>
          <w:t>:H4-eset</w:t>
        </w:r>
        <w:proofErr w:type="gramEnd"/>
      </w:hyperlink>
      <w:r w:rsidR="00086959">
        <w:t>)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felgyorsult áruszállítás – kórokozók gyors terjedése</w:t>
      </w:r>
      <w:r w:rsidR="00086959">
        <w:t xml:space="preserve"> (ld. kamionok, pl. lepkekabóca Törökországból Hollandiába)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új élelmiszerek, új technológiák</w:t>
      </w:r>
      <w:r w:rsidR="00086959">
        <w:t xml:space="preserve"> (=amelyek fogyasztása az EU-n belül nem megszokott, pl. rovarok, ezek a kitin miatt kockázatosak)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globalizáció – ismer</w:t>
      </w:r>
      <w:r w:rsidRPr="000B76B3">
        <w:t>etlen veszélyek</w:t>
      </w:r>
    </w:p>
    <w:p w:rsidR="00086959" w:rsidRPr="00086959" w:rsidRDefault="00B97436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r w:rsidRPr="000B76B3">
        <w:t>klímaváltozás</w:t>
      </w:r>
    </w:p>
    <w:p w:rsidR="000B76B3" w:rsidRPr="00086959" w:rsidRDefault="00086959" w:rsidP="00086959">
      <w:pPr>
        <w:pStyle w:val="Listaszerbekezds"/>
        <w:numPr>
          <w:ilvl w:val="0"/>
          <w:numId w:val="25"/>
        </w:numPr>
        <w:spacing w:after="0"/>
        <w:rPr>
          <w:b/>
          <w:bCs/>
        </w:rPr>
      </w:pPr>
      <w:proofErr w:type="spellStart"/>
      <w:r>
        <w:t>bioterrorizmus</w:t>
      </w:r>
      <w:proofErr w:type="spellEnd"/>
      <w:r>
        <w:t>, élelmiszer</w:t>
      </w:r>
      <w:r w:rsidR="000B76B3" w:rsidRPr="000B76B3">
        <w:t>terrorizmus</w:t>
      </w:r>
      <w:r>
        <w:t xml:space="preserve">: </w:t>
      </w:r>
      <w:r w:rsidR="000B76B3" w:rsidRPr="00086959">
        <w:rPr>
          <w:i/>
          <w:lang w:val="en-US"/>
        </w:rPr>
        <w:t>TOMMY THOMPSON, SECRETARY, HEALTH AND HUMAN SERVICES</w:t>
      </w:r>
      <w:r w:rsidR="000B76B3" w:rsidRPr="00086959">
        <w:rPr>
          <w:i/>
        </w:rPr>
        <w:t xml:space="preserve"> (2004)</w:t>
      </w:r>
      <w:r w:rsidR="000B76B3" w:rsidRPr="00086959">
        <w:rPr>
          <w:i/>
          <w:lang w:val="en-US"/>
        </w:rPr>
        <w:t xml:space="preserve">: </w:t>
      </w:r>
      <w:r>
        <w:rPr>
          <w:i/>
          <w:lang w:val="en-US"/>
        </w:rPr>
        <w:t>“</w:t>
      </w:r>
      <w:r w:rsidR="000B76B3" w:rsidRPr="00086959">
        <w:rPr>
          <w:i/>
          <w:lang w:val="en-US"/>
        </w:rPr>
        <w:t>For the life of me, I cannot understand why the terrorists have not, you know, attacked our food supply. Because it is so easy to do.</w:t>
      </w:r>
      <w:r>
        <w:rPr>
          <w:i/>
        </w:rPr>
        <w:t>”</w:t>
      </w:r>
    </w:p>
    <w:p w:rsidR="00086959" w:rsidRPr="00086959" w:rsidRDefault="00086959" w:rsidP="00086959">
      <w:pPr>
        <w:pStyle w:val="Listaszerbekezds"/>
        <w:spacing w:after="0"/>
        <w:rPr>
          <w:b/>
          <w:bCs/>
        </w:rPr>
      </w:pPr>
    </w:p>
    <w:p w:rsidR="009F5980" w:rsidRDefault="000B76B3" w:rsidP="009F5980">
      <w:pPr>
        <w:spacing w:after="0"/>
        <w:rPr>
          <w:b/>
          <w:bCs/>
          <w:color w:val="FF0000"/>
        </w:rPr>
      </w:pPr>
      <w:r w:rsidRPr="000B76B3">
        <w:rPr>
          <w:b/>
          <w:bCs/>
          <w:color w:val="FF0000"/>
        </w:rPr>
        <w:t>A JAFFA eset (1978)</w:t>
      </w:r>
    </w:p>
    <w:p w:rsidR="009F5980" w:rsidRPr="009F5980" w:rsidRDefault="00B97436" w:rsidP="009F5980">
      <w:pPr>
        <w:pStyle w:val="Listaszerbekezds"/>
        <w:numPr>
          <w:ilvl w:val="0"/>
          <w:numId w:val="27"/>
        </w:numPr>
        <w:spacing w:after="0"/>
        <w:rPr>
          <w:b/>
          <w:bCs/>
          <w:color w:val="FF0000"/>
        </w:rPr>
      </w:pPr>
      <w:r w:rsidRPr="009F5980">
        <w:rPr>
          <w:color w:val="FF0000"/>
        </w:rPr>
        <w:t xml:space="preserve">1978-ban az Arab </w:t>
      </w:r>
      <w:proofErr w:type="spellStart"/>
      <w:r w:rsidRPr="009F5980">
        <w:rPr>
          <w:color w:val="FF0000"/>
        </w:rPr>
        <w:t>Revolutionary</w:t>
      </w:r>
      <w:proofErr w:type="spellEnd"/>
      <w:r w:rsidRPr="009F5980">
        <w:rPr>
          <w:color w:val="FF0000"/>
        </w:rPr>
        <w:t xml:space="preserve"> </w:t>
      </w:r>
      <w:proofErr w:type="spellStart"/>
      <w:r w:rsidRPr="009F5980">
        <w:rPr>
          <w:color w:val="FF0000"/>
        </w:rPr>
        <w:t>Army</w:t>
      </w:r>
      <w:proofErr w:type="spellEnd"/>
      <w:r w:rsidRPr="009F5980">
        <w:rPr>
          <w:color w:val="FF0000"/>
        </w:rPr>
        <w:t xml:space="preserve"> narancsszedőként dolgozó terroristái higanyt fecskendeztek az exportra szánt izraeli narancsba</w:t>
      </w:r>
    </w:p>
    <w:p w:rsidR="009F5980" w:rsidRPr="009F5980" w:rsidRDefault="00B97436" w:rsidP="009F5980">
      <w:pPr>
        <w:pStyle w:val="Listaszerbekezds"/>
        <w:numPr>
          <w:ilvl w:val="0"/>
          <w:numId w:val="27"/>
        </w:numPr>
        <w:spacing w:after="0"/>
        <w:rPr>
          <w:b/>
          <w:bCs/>
          <w:color w:val="FF0000"/>
        </w:rPr>
      </w:pPr>
      <w:r w:rsidRPr="009F5980">
        <w:rPr>
          <w:color w:val="FF0000"/>
          <w:lang w:val="en-US"/>
        </w:rPr>
        <w:t xml:space="preserve">5 </w:t>
      </w:r>
      <w:r w:rsidRPr="009F5980">
        <w:rPr>
          <w:color w:val="FF0000"/>
        </w:rPr>
        <w:t>holland gyerek megbetegedet</w:t>
      </w:r>
      <w:r w:rsidRPr="009F5980">
        <w:rPr>
          <w:color w:val="FF0000"/>
        </w:rPr>
        <w:t>t</w:t>
      </w:r>
    </w:p>
    <w:p w:rsidR="00000000" w:rsidRPr="009F5980" w:rsidRDefault="00B97436" w:rsidP="009F5980">
      <w:pPr>
        <w:pStyle w:val="Listaszerbekezds"/>
        <w:numPr>
          <w:ilvl w:val="0"/>
          <w:numId w:val="27"/>
        </w:numPr>
        <w:spacing w:after="0"/>
        <w:rPr>
          <w:b/>
          <w:bCs/>
          <w:color w:val="FF0000"/>
        </w:rPr>
      </w:pPr>
      <w:r w:rsidRPr="009F5980">
        <w:rPr>
          <w:color w:val="FF0000"/>
        </w:rPr>
        <w:t>14 további narancsot találtak a vizsgálatok során a tételben</w:t>
      </w:r>
    </w:p>
    <w:p w:rsidR="009F5980" w:rsidRDefault="009F5980" w:rsidP="00086959">
      <w:pPr>
        <w:spacing w:after="0"/>
        <w:rPr>
          <w:b/>
          <w:bCs/>
        </w:rPr>
      </w:pPr>
    </w:p>
    <w:p w:rsidR="009F5980" w:rsidRDefault="000B76B3" w:rsidP="009F5980">
      <w:pPr>
        <w:spacing w:after="0"/>
        <w:rPr>
          <w:b/>
          <w:bCs/>
        </w:rPr>
      </w:pPr>
      <w:r w:rsidRPr="000B76B3">
        <w:rPr>
          <w:b/>
          <w:bCs/>
        </w:rPr>
        <w:lastRenderedPageBreak/>
        <w:t xml:space="preserve">A </w:t>
      </w:r>
      <w:proofErr w:type="spellStart"/>
      <w:r w:rsidRPr="000B76B3">
        <w:rPr>
          <w:b/>
          <w:bCs/>
        </w:rPr>
        <w:t>Rajneesh</w:t>
      </w:r>
      <w:proofErr w:type="spellEnd"/>
      <w:r w:rsidRPr="000B76B3">
        <w:rPr>
          <w:b/>
          <w:bCs/>
        </w:rPr>
        <w:t xml:space="preserve"> </w:t>
      </w:r>
      <w:proofErr w:type="spellStart"/>
      <w:r w:rsidRPr="000B76B3">
        <w:rPr>
          <w:b/>
          <w:bCs/>
        </w:rPr>
        <w:t>bioterror</w:t>
      </w:r>
      <w:proofErr w:type="spellEnd"/>
      <w:r w:rsidRPr="000B76B3">
        <w:rPr>
          <w:b/>
          <w:bCs/>
        </w:rPr>
        <w:t xml:space="preserve"> támadás (1984)</w:t>
      </w:r>
    </w:p>
    <w:p w:rsidR="009F5980" w:rsidRPr="009F5980" w:rsidRDefault="00B97436" w:rsidP="009F5980">
      <w:pPr>
        <w:pStyle w:val="Listaszerbekezds"/>
        <w:numPr>
          <w:ilvl w:val="0"/>
          <w:numId w:val="28"/>
        </w:numPr>
        <w:spacing w:after="0"/>
        <w:rPr>
          <w:b/>
          <w:bCs/>
        </w:rPr>
      </w:pPr>
      <w:proofErr w:type="spellStart"/>
      <w:r w:rsidRPr="000B76B3">
        <w:t>Dalles</w:t>
      </w:r>
      <w:proofErr w:type="spellEnd"/>
      <w:r w:rsidRPr="000B76B3">
        <w:t>, Oregon (USA) - 751 fő megfertőzése (</w:t>
      </w:r>
      <w:proofErr w:type="spellStart"/>
      <w:r w:rsidRPr="000B76B3">
        <w:t>salmonellosis</w:t>
      </w:r>
      <w:proofErr w:type="spellEnd"/>
      <w:r w:rsidRPr="000B76B3">
        <w:t>), 45 kórházi kezelésre szorult</w:t>
      </w:r>
    </w:p>
    <w:p w:rsidR="009F5980" w:rsidRPr="009F5980" w:rsidRDefault="00B97436" w:rsidP="009F5980">
      <w:pPr>
        <w:pStyle w:val="Listaszerbekezds"/>
        <w:numPr>
          <w:ilvl w:val="0"/>
          <w:numId w:val="28"/>
        </w:numPr>
        <w:spacing w:after="0"/>
        <w:rPr>
          <w:b/>
          <w:bCs/>
        </w:rPr>
      </w:pPr>
      <w:r w:rsidRPr="000B76B3">
        <w:t xml:space="preserve">Elkövetők: </w:t>
      </w:r>
      <w:proofErr w:type="spellStart"/>
      <w:r w:rsidRPr="000B76B3">
        <w:t>Rajneesh</w:t>
      </w:r>
      <w:proofErr w:type="spellEnd"/>
      <w:r w:rsidRPr="000B76B3">
        <w:t xml:space="preserve"> (</w:t>
      </w:r>
      <w:proofErr w:type="spellStart"/>
      <w:r w:rsidRPr="000B76B3">
        <w:t>Osho</w:t>
      </w:r>
      <w:proofErr w:type="spellEnd"/>
      <w:r w:rsidRPr="000B76B3">
        <w:t>) vallási szektája</w:t>
      </w:r>
    </w:p>
    <w:p w:rsidR="009F5980" w:rsidRPr="009F5980" w:rsidRDefault="00B97436" w:rsidP="009F5980">
      <w:pPr>
        <w:pStyle w:val="Listaszerbekezds"/>
        <w:numPr>
          <w:ilvl w:val="0"/>
          <w:numId w:val="28"/>
        </w:numPr>
        <w:spacing w:after="0"/>
        <w:rPr>
          <w:b/>
          <w:bCs/>
        </w:rPr>
      </w:pPr>
      <w:r w:rsidRPr="000B76B3">
        <w:t>Cél: helyhatósági v</w:t>
      </w:r>
      <w:r w:rsidRPr="000B76B3">
        <w:t>álasztások manipulálása</w:t>
      </w:r>
    </w:p>
    <w:p w:rsidR="009F5980" w:rsidRPr="009F5980" w:rsidRDefault="00B97436" w:rsidP="009F5980">
      <w:pPr>
        <w:pStyle w:val="Listaszerbekezds"/>
        <w:numPr>
          <w:ilvl w:val="0"/>
          <w:numId w:val="28"/>
        </w:numPr>
        <w:spacing w:after="0"/>
        <w:rPr>
          <w:b/>
          <w:bCs/>
        </w:rPr>
      </w:pPr>
      <w:r w:rsidRPr="009F5980">
        <w:rPr>
          <w:i/>
          <w:iCs/>
        </w:rPr>
        <w:t xml:space="preserve">Salmonella </w:t>
      </w:r>
      <w:proofErr w:type="spellStart"/>
      <w:r w:rsidRPr="009F5980">
        <w:rPr>
          <w:i/>
          <w:iCs/>
        </w:rPr>
        <w:t>Typhimuriumot</w:t>
      </w:r>
      <w:proofErr w:type="spellEnd"/>
      <w:r w:rsidRPr="000B76B3">
        <w:t xml:space="preserve"> tartalmazó folyadékkal 10 étterem salátabárjában található szószokat fertőzték meg</w:t>
      </w:r>
    </w:p>
    <w:p w:rsidR="00000000" w:rsidRPr="009F5980" w:rsidRDefault="00B97436" w:rsidP="009F5980">
      <w:pPr>
        <w:pStyle w:val="Listaszerbekezds"/>
        <w:numPr>
          <w:ilvl w:val="0"/>
          <w:numId w:val="28"/>
        </w:numPr>
        <w:spacing w:after="0"/>
        <w:rPr>
          <w:b/>
          <w:bCs/>
        </w:rPr>
      </w:pPr>
      <w:r w:rsidRPr="000B76B3">
        <w:t xml:space="preserve">Előtte próbálkoztak ajtókilincsek, piacon kapható zöldségek megfertőzésével is </w:t>
      </w:r>
    </w:p>
    <w:p w:rsidR="009F5980" w:rsidRDefault="009F5980" w:rsidP="00086959">
      <w:pPr>
        <w:spacing w:after="0"/>
      </w:pPr>
    </w:p>
    <w:p w:rsidR="000B76B3" w:rsidRDefault="000B76B3" w:rsidP="00086959">
      <w:pPr>
        <w:spacing w:after="0"/>
      </w:pPr>
      <w:r w:rsidRPr="009F5980">
        <w:rPr>
          <w:b/>
        </w:rPr>
        <w:t>U</w:t>
      </w:r>
      <w:proofErr w:type="spellStart"/>
      <w:r w:rsidRPr="009F5980">
        <w:rPr>
          <w:b/>
          <w:lang w:val="en-US"/>
        </w:rPr>
        <w:t>niversity</w:t>
      </w:r>
      <w:proofErr w:type="spellEnd"/>
      <w:r w:rsidRPr="009F5980">
        <w:rPr>
          <w:b/>
          <w:lang w:val="en-US"/>
        </w:rPr>
        <w:t xml:space="preserve"> of South Carolina</w:t>
      </w:r>
      <w:r w:rsidRPr="009F5980">
        <w:rPr>
          <w:b/>
        </w:rPr>
        <w:t>, 2015. február 4.</w:t>
      </w:r>
      <w:r w:rsidRPr="000B76B3">
        <w:br/>
        <w:t xml:space="preserve">Rejtett kamera rögzíti, hogy </w:t>
      </w:r>
      <w:proofErr w:type="spellStart"/>
      <w:r w:rsidRPr="000B76B3">
        <w:t>Hayley</w:t>
      </w:r>
      <w:proofErr w:type="spellEnd"/>
      <w:r w:rsidRPr="000B76B3">
        <w:t xml:space="preserve"> King (22) </w:t>
      </w:r>
      <w:proofErr w:type="gramStart"/>
      <w:r w:rsidRPr="000B76B3">
        <w:t xml:space="preserve">vegyszereket </w:t>
      </w:r>
      <w:r w:rsidRPr="000B76B3">
        <w:rPr>
          <w:lang w:val="en-US"/>
        </w:rPr>
        <w:t xml:space="preserve"> </w:t>
      </w:r>
      <w:r w:rsidRPr="000B76B3">
        <w:t>önt</w:t>
      </w:r>
      <w:proofErr w:type="gramEnd"/>
      <w:r w:rsidRPr="000B76B3">
        <w:t xml:space="preserve"> és beleköpköd a kollégiumi szobatársai ételeibe</w:t>
      </w:r>
    </w:p>
    <w:p w:rsidR="009F5980" w:rsidRDefault="009F5980" w:rsidP="00086959">
      <w:pPr>
        <w:spacing w:after="0"/>
      </w:pPr>
    </w:p>
    <w:p w:rsidR="009F5980" w:rsidRDefault="000B76B3" w:rsidP="009F5980">
      <w:pPr>
        <w:spacing w:after="0"/>
        <w:rPr>
          <w:b/>
          <w:bCs/>
          <w:color w:val="FF0000"/>
        </w:rPr>
      </w:pPr>
      <w:r w:rsidRPr="000B76B3">
        <w:rPr>
          <w:b/>
          <w:bCs/>
          <w:color w:val="FF0000"/>
        </w:rPr>
        <w:t>Veszély és kockázat</w:t>
      </w:r>
      <w:r w:rsidR="009F5980">
        <w:rPr>
          <w:b/>
          <w:bCs/>
          <w:color w:val="FF0000"/>
        </w:rPr>
        <w:t xml:space="preserve"> (ld. pl. pisztácia)</w:t>
      </w:r>
    </w:p>
    <w:p w:rsidR="009F5980" w:rsidRPr="009A5601" w:rsidRDefault="00B97436" w:rsidP="009F5980">
      <w:pPr>
        <w:pStyle w:val="Listaszerbekezds"/>
        <w:numPr>
          <w:ilvl w:val="0"/>
          <w:numId w:val="29"/>
        </w:numPr>
        <w:spacing w:after="0"/>
        <w:rPr>
          <w:b/>
          <w:bCs/>
          <w:color w:val="FF0000"/>
        </w:rPr>
      </w:pPr>
      <w:r w:rsidRPr="009A5601">
        <w:rPr>
          <w:b/>
          <w:bCs/>
          <w:color w:val="FF0000"/>
        </w:rPr>
        <w:t>Veszély (</w:t>
      </w:r>
      <w:proofErr w:type="spellStart"/>
      <w:r w:rsidRPr="009A5601">
        <w:rPr>
          <w:b/>
          <w:bCs/>
          <w:color w:val="FF0000"/>
        </w:rPr>
        <w:t>hazard</w:t>
      </w:r>
      <w:proofErr w:type="spellEnd"/>
      <w:r w:rsidRPr="009A5601">
        <w:rPr>
          <w:b/>
          <w:bCs/>
          <w:color w:val="FF0000"/>
        </w:rPr>
        <w:t>):</w:t>
      </w:r>
      <w:r w:rsidRPr="009A5601">
        <w:rPr>
          <w:b/>
          <w:color w:val="FF0000"/>
        </w:rPr>
        <w:t xml:space="preserve"> az élelmiszerben előforduló biológiai, kémiai vagy fizikai hatású</w:t>
      </w:r>
      <w:r w:rsidRPr="009A5601">
        <w:rPr>
          <w:b/>
          <w:bCs/>
          <w:i/>
          <w:iCs/>
          <w:color w:val="FF0000"/>
        </w:rPr>
        <w:t xml:space="preserve"> </w:t>
      </w:r>
      <w:r w:rsidRPr="009A5601">
        <w:rPr>
          <w:b/>
          <w:color w:val="FF0000"/>
        </w:rPr>
        <w:t>anyag, vagy az éle</w:t>
      </w:r>
      <w:r w:rsidRPr="009A5601">
        <w:rPr>
          <w:b/>
          <w:color w:val="FF0000"/>
        </w:rPr>
        <w:t xml:space="preserve">lmiszer olyan állapota, </w:t>
      </w:r>
      <w:r w:rsidRPr="009A5601">
        <w:rPr>
          <w:b/>
          <w:color w:val="FF0000"/>
          <w:u w:val="single"/>
        </w:rPr>
        <w:t>amelynek káros egészségügyi hatása lehet</w:t>
      </w:r>
      <w:r w:rsidRPr="009A5601">
        <w:rPr>
          <w:b/>
          <w:color w:val="FF0000"/>
        </w:rPr>
        <w:t xml:space="preserve"> </w:t>
      </w:r>
    </w:p>
    <w:p w:rsidR="009F5980" w:rsidRPr="009F5980" w:rsidRDefault="009F5980" w:rsidP="009F5980">
      <w:pPr>
        <w:pStyle w:val="Listaszerbekezds"/>
        <w:numPr>
          <w:ilvl w:val="1"/>
          <w:numId w:val="29"/>
        </w:numPr>
        <w:spacing w:after="0"/>
        <w:rPr>
          <w:b/>
          <w:bCs/>
          <w:color w:val="FF0000"/>
        </w:rPr>
      </w:pPr>
      <w:r>
        <w:rPr>
          <w:bCs/>
          <w:color w:val="FF0000"/>
        </w:rPr>
        <w:t xml:space="preserve">A pisztáciát zömében Ázsiában termelik, az </w:t>
      </w:r>
      <w:proofErr w:type="spellStart"/>
      <w:r w:rsidRPr="009F5980">
        <w:rPr>
          <w:bCs/>
          <w:color w:val="FF0000"/>
        </w:rPr>
        <w:t>Aspergillus</w:t>
      </w:r>
      <w:proofErr w:type="spellEnd"/>
      <w:r w:rsidRPr="009F5980">
        <w:rPr>
          <w:bCs/>
          <w:color w:val="FF0000"/>
        </w:rPr>
        <w:t xml:space="preserve"> </w:t>
      </w:r>
      <w:proofErr w:type="spellStart"/>
      <w:r w:rsidRPr="009F5980">
        <w:rPr>
          <w:bCs/>
          <w:color w:val="FF0000"/>
        </w:rPr>
        <w:t>molds</w:t>
      </w:r>
      <w:proofErr w:type="spellEnd"/>
      <w:r>
        <w:rPr>
          <w:bCs/>
          <w:color w:val="FF0000"/>
        </w:rPr>
        <w:t xml:space="preserve"> nevű gombafaj </w:t>
      </w:r>
      <w:proofErr w:type="spellStart"/>
      <w:r>
        <w:rPr>
          <w:bCs/>
          <w:color w:val="FF0000"/>
        </w:rPr>
        <w:t>aflatoxint</w:t>
      </w:r>
      <w:proofErr w:type="spellEnd"/>
      <w:r>
        <w:rPr>
          <w:bCs/>
          <w:color w:val="FF0000"/>
        </w:rPr>
        <w:t xml:space="preserve"> termel.</w:t>
      </w:r>
    </w:p>
    <w:p w:rsidR="009F5980" w:rsidRDefault="00B97436" w:rsidP="009F5980">
      <w:pPr>
        <w:pStyle w:val="Listaszerbekezds"/>
        <w:numPr>
          <w:ilvl w:val="0"/>
          <w:numId w:val="29"/>
        </w:numPr>
        <w:spacing w:after="0"/>
        <w:rPr>
          <w:b/>
          <w:bCs/>
          <w:color w:val="FF0000"/>
        </w:rPr>
      </w:pPr>
      <w:r w:rsidRPr="009F5980">
        <w:rPr>
          <w:b/>
          <w:bCs/>
          <w:color w:val="FF0000"/>
        </w:rPr>
        <w:t>Ártalom (</w:t>
      </w:r>
      <w:proofErr w:type="spellStart"/>
      <w:r w:rsidRPr="009F5980">
        <w:rPr>
          <w:b/>
          <w:bCs/>
          <w:color w:val="FF0000"/>
        </w:rPr>
        <w:t>harm</w:t>
      </w:r>
      <w:proofErr w:type="spellEnd"/>
      <w:r w:rsidRPr="009F5980">
        <w:rPr>
          <w:b/>
          <w:bCs/>
          <w:color w:val="FF0000"/>
        </w:rPr>
        <w:t>):</w:t>
      </w:r>
      <w:r w:rsidRPr="009F5980">
        <w:rPr>
          <w:color w:val="FF0000"/>
        </w:rPr>
        <w:t xml:space="preserve"> </w:t>
      </w:r>
      <w:r w:rsidRPr="009A5601">
        <w:rPr>
          <w:b/>
          <w:color w:val="FF0000"/>
          <w:u w:val="single"/>
        </w:rPr>
        <w:t>a veszély realizálódásának következménye</w:t>
      </w:r>
      <w:r w:rsidRPr="009F5980">
        <w:rPr>
          <w:b/>
          <w:bCs/>
          <w:color w:val="FF0000"/>
        </w:rPr>
        <w:t xml:space="preserve"> </w:t>
      </w:r>
    </w:p>
    <w:p w:rsidR="009F5980" w:rsidRPr="009F5980" w:rsidRDefault="009F5980" w:rsidP="009F5980">
      <w:pPr>
        <w:pStyle w:val="Listaszerbekezds"/>
        <w:numPr>
          <w:ilvl w:val="1"/>
          <w:numId w:val="29"/>
        </w:numPr>
        <w:spacing w:after="0"/>
        <w:rPr>
          <w:bCs/>
          <w:color w:val="FF0000"/>
        </w:rPr>
      </w:pPr>
      <w:r>
        <w:rPr>
          <w:bCs/>
          <w:color w:val="FF0000"/>
        </w:rPr>
        <w:t>A sok pisztácia megevésével bevitt</w:t>
      </w:r>
      <w:r w:rsidRPr="009F5980">
        <w:rPr>
          <w:bCs/>
          <w:color w:val="FF0000"/>
        </w:rPr>
        <w:t xml:space="preserve"> </w:t>
      </w:r>
      <w:proofErr w:type="spellStart"/>
      <w:r w:rsidRPr="009F5980">
        <w:rPr>
          <w:bCs/>
          <w:color w:val="FF0000"/>
        </w:rPr>
        <w:t>aflatoxinnak</w:t>
      </w:r>
      <w:proofErr w:type="spellEnd"/>
      <w:r w:rsidRPr="009F5980">
        <w:rPr>
          <w:bCs/>
          <w:color w:val="FF0000"/>
        </w:rPr>
        <w:t xml:space="preserve"> máj- és vesekárosító hatása van.</w:t>
      </w:r>
    </w:p>
    <w:p w:rsidR="00000000" w:rsidRPr="00454CD0" w:rsidRDefault="00B97436" w:rsidP="009F5980">
      <w:pPr>
        <w:pStyle w:val="Listaszerbekezds"/>
        <w:numPr>
          <w:ilvl w:val="0"/>
          <w:numId w:val="29"/>
        </w:numPr>
        <w:spacing w:after="0"/>
        <w:rPr>
          <w:b/>
          <w:bCs/>
          <w:color w:val="FF0000"/>
        </w:rPr>
      </w:pPr>
      <w:r w:rsidRPr="009F5980">
        <w:rPr>
          <w:b/>
          <w:bCs/>
          <w:color w:val="FF0000"/>
        </w:rPr>
        <w:t>Kockázat (</w:t>
      </w:r>
      <w:proofErr w:type="spellStart"/>
      <w:r w:rsidRPr="009F5980">
        <w:rPr>
          <w:b/>
          <w:bCs/>
          <w:color w:val="FF0000"/>
        </w:rPr>
        <w:t>risk</w:t>
      </w:r>
      <w:proofErr w:type="spellEnd"/>
      <w:r w:rsidRPr="009F5980">
        <w:rPr>
          <w:b/>
          <w:bCs/>
          <w:color w:val="FF0000"/>
        </w:rPr>
        <w:t>):</w:t>
      </w:r>
      <w:r w:rsidRPr="009F5980">
        <w:rPr>
          <w:color w:val="FF0000"/>
        </w:rPr>
        <w:t xml:space="preserve"> </w:t>
      </w:r>
      <w:r w:rsidRPr="009A5601">
        <w:rPr>
          <w:b/>
          <w:color w:val="FF0000"/>
          <w:u w:val="single"/>
        </w:rPr>
        <w:t>egy veszély következményeként jelentkező</w:t>
      </w:r>
      <w:r w:rsidRPr="009F5980">
        <w:rPr>
          <w:color w:val="FF0000"/>
        </w:rPr>
        <w:t xml:space="preserve">, </w:t>
      </w:r>
      <w:r w:rsidRPr="009A5601">
        <w:rPr>
          <w:b/>
          <w:color w:val="FF0000"/>
        </w:rPr>
        <w:t>egészségkárosító hatás és a hatás súlyosságának valószínűsége. Jellemző</w:t>
      </w:r>
      <w:r w:rsidRPr="009A5601">
        <w:rPr>
          <w:b/>
          <w:color w:val="FF0000"/>
        </w:rPr>
        <w:t xml:space="preserve">en számolt, </w:t>
      </w:r>
      <w:proofErr w:type="gramStart"/>
      <w:r w:rsidRPr="009A5601">
        <w:rPr>
          <w:b/>
          <w:color w:val="FF0000"/>
        </w:rPr>
        <w:t>kvantitatív adat</w:t>
      </w:r>
      <w:proofErr w:type="gramEnd"/>
      <w:r w:rsidRPr="009F5980">
        <w:rPr>
          <w:color w:val="FF0000"/>
        </w:rPr>
        <w:t xml:space="preserve"> </w:t>
      </w:r>
    </w:p>
    <w:p w:rsidR="00454CD0" w:rsidRPr="00454CD0" w:rsidRDefault="00454CD0" w:rsidP="009F5980">
      <w:pPr>
        <w:pStyle w:val="Listaszerbekezds"/>
        <w:numPr>
          <w:ilvl w:val="0"/>
          <w:numId w:val="29"/>
        </w:numPr>
        <w:spacing w:after="0"/>
        <w:rPr>
          <w:b/>
          <w:bCs/>
          <w:color w:val="FF0000"/>
        </w:rPr>
      </w:pPr>
      <w:r>
        <w:rPr>
          <w:bCs/>
          <w:color w:val="FF0000"/>
        </w:rPr>
        <w:t xml:space="preserve">Tehetünk ellene: </w:t>
      </w:r>
    </w:p>
    <w:p w:rsidR="00454CD0" w:rsidRPr="00454CD0" w:rsidRDefault="00454CD0" w:rsidP="00454CD0">
      <w:pPr>
        <w:pStyle w:val="Listaszerbekezds"/>
        <w:numPr>
          <w:ilvl w:val="1"/>
          <w:numId w:val="29"/>
        </w:numPr>
        <w:spacing w:after="0"/>
        <w:rPr>
          <w:b/>
          <w:bCs/>
          <w:color w:val="FF0000"/>
        </w:rPr>
      </w:pPr>
      <w:r>
        <w:rPr>
          <w:bCs/>
          <w:color w:val="FF0000"/>
        </w:rPr>
        <w:t>Fogyasztói szint: biztos helyről vásárolunk élelmiszert, egyszerre kevesebbet fogyasztunk</w:t>
      </w:r>
    </w:p>
    <w:p w:rsidR="00454CD0" w:rsidRPr="009F5980" w:rsidRDefault="00454CD0" w:rsidP="00454CD0">
      <w:pPr>
        <w:pStyle w:val="Listaszerbekezds"/>
        <w:numPr>
          <w:ilvl w:val="1"/>
          <w:numId w:val="29"/>
        </w:numPr>
        <w:spacing w:after="0"/>
        <w:rPr>
          <w:b/>
          <w:bCs/>
          <w:color w:val="FF0000"/>
        </w:rPr>
      </w:pPr>
      <w:r>
        <w:rPr>
          <w:bCs/>
          <w:color w:val="FF0000"/>
        </w:rPr>
        <w:t>Hatósági szint: toxintartalom-ellenőrzés, „mintázás” (termékminták vétele)</w:t>
      </w:r>
    </w:p>
    <w:p w:rsidR="009F5980" w:rsidRPr="000B76B3" w:rsidRDefault="009F5980" w:rsidP="009F5980">
      <w:pPr>
        <w:spacing w:after="0"/>
        <w:rPr>
          <w:color w:val="FF0000"/>
        </w:rPr>
      </w:pPr>
    </w:p>
    <w:p w:rsidR="000B76B3" w:rsidRPr="00454CD0" w:rsidRDefault="000B76B3" w:rsidP="00086959">
      <w:pPr>
        <w:spacing w:after="0"/>
        <w:rPr>
          <w:b/>
          <w:bCs/>
          <w:color w:val="FF0000"/>
        </w:rPr>
      </w:pPr>
      <w:r w:rsidRPr="00454CD0">
        <w:rPr>
          <w:b/>
          <w:bCs/>
          <w:color w:val="FF0000"/>
        </w:rPr>
        <w:t>Nemzetközi élelmiszer-biztonsági gyors veszélyjelző/információs rendszerek</w:t>
      </w:r>
    </w:p>
    <w:p w:rsidR="000B76B3" w:rsidRDefault="000B76B3" w:rsidP="00086959">
      <w:pPr>
        <w:spacing w:after="0"/>
        <w:rPr>
          <w:b/>
          <w:color w:val="FF0000"/>
        </w:rPr>
      </w:pPr>
      <w:r w:rsidRPr="00086959">
        <w:rPr>
          <w:b/>
          <w:bCs/>
          <w:color w:val="FF0000"/>
        </w:rPr>
        <w:t xml:space="preserve">RASFF </w:t>
      </w:r>
      <w:r w:rsidR="00454CD0">
        <w:rPr>
          <w:b/>
          <w:bCs/>
          <w:color w:val="FF0000"/>
        </w:rPr>
        <w:t>(EU</w:t>
      </w:r>
      <w:r w:rsidR="009A5601">
        <w:rPr>
          <w:b/>
          <w:bCs/>
          <w:color w:val="FF0000"/>
        </w:rPr>
        <w:t>: Európai Bizottság</w:t>
      </w:r>
      <w:r w:rsidR="00454CD0">
        <w:rPr>
          <w:b/>
          <w:bCs/>
          <w:color w:val="FF0000"/>
        </w:rPr>
        <w:t>)</w:t>
      </w:r>
      <w:r w:rsidRPr="00086959">
        <w:rPr>
          <w:b/>
          <w:bCs/>
          <w:color w:val="FF0000"/>
        </w:rPr>
        <w:br/>
      </w:r>
      <w:r w:rsidRPr="00086959">
        <w:rPr>
          <w:color w:val="FF0000"/>
          <w:lang w:val="en-GB"/>
        </w:rPr>
        <w:t>Rapid Alert System for Food and Feed</w:t>
      </w:r>
      <w:r w:rsidRPr="00086959">
        <w:rPr>
          <w:b/>
          <w:bCs/>
          <w:color w:val="FF0000"/>
        </w:rPr>
        <w:br/>
      </w:r>
      <w:r w:rsidRPr="009A5601">
        <w:rPr>
          <w:b/>
          <w:color w:val="FF0000"/>
        </w:rPr>
        <w:t>Éle</w:t>
      </w:r>
      <w:r w:rsidR="00454CD0" w:rsidRPr="009A5601">
        <w:rPr>
          <w:b/>
          <w:color w:val="FF0000"/>
        </w:rPr>
        <w:t xml:space="preserve">lmiszer- és takarmánybiztonsági </w:t>
      </w:r>
      <w:r w:rsidRPr="009A5601">
        <w:rPr>
          <w:b/>
          <w:color w:val="FF0000"/>
        </w:rPr>
        <w:t>gyors riasztási rendszer</w:t>
      </w:r>
    </w:p>
    <w:p w:rsidR="009A5601" w:rsidRDefault="009A5601" w:rsidP="009A5601">
      <w:pPr>
        <w:pStyle w:val="Listaszerbekezds"/>
        <w:numPr>
          <w:ilvl w:val="0"/>
          <w:numId w:val="29"/>
        </w:numPr>
        <w:spacing w:after="0"/>
        <w:rPr>
          <w:color w:val="FF0000"/>
        </w:rPr>
      </w:pPr>
      <w:r w:rsidRPr="009A5601">
        <w:rPr>
          <w:color w:val="FF0000"/>
        </w:rPr>
        <w:t>a takarmánybiztonság is ide tartozik!</w:t>
      </w:r>
    </w:p>
    <w:p w:rsidR="009A5601" w:rsidRDefault="00B97436" w:rsidP="009A5601">
      <w:pPr>
        <w:pStyle w:val="Listaszerbekezds"/>
        <w:numPr>
          <w:ilvl w:val="0"/>
          <w:numId w:val="29"/>
        </w:numPr>
        <w:spacing w:after="0"/>
        <w:rPr>
          <w:color w:val="FF0000"/>
        </w:rPr>
      </w:pPr>
      <w:r w:rsidRPr="009A5601">
        <w:rPr>
          <w:color w:val="FF0000"/>
        </w:rPr>
        <w:t xml:space="preserve">Az Európai Bizottság működteti, </w:t>
      </w:r>
    </w:p>
    <w:p w:rsidR="009A5601" w:rsidRPr="009A5601" w:rsidRDefault="00B97436" w:rsidP="009A5601">
      <w:pPr>
        <w:pStyle w:val="Listaszerbekezds"/>
        <w:numPr>
          <w:ilvl w:val="0"/>
          <w:numId w:val="29"/>
        </w:numPr>
        <w:spacing w:after="0"/>
        <w:rPr>
          <w:color w:val="FF0000"/>
        </w:rPr>
      </w:pPr>
      <w:r w:rsidRPr="009A5601">
        <w:rPr>
          <w:color w:val="FF0000"/>
        </w:rPr>
        <w:t xml:space="preserve">Hazai </w:t>
      </w:r>
      <w:r w:rsidRPr="009A5601">
        <w:rPr>
          <w:color w:val="FF0000"/>
        </w:rPr>
        <w:t xml:space="preserve">kapcsolattartó: </w:t>
      </w:r>
      <w:r w:rsidRPr="009A5601">
        <w:rPr>
          <w:b/>
          <w:color w:val="FF0000"/>
        </w:rPr>
        <w:t>NÉBIH-ÉKI</w:t>
      </w:r>
      <w:r w:rsidRPr="009A5601">
        <w:rPr>
          <w:b/>
          <w:bCs/>
          <w:color w:val="FF0000"/>
        </w:rPr>
        <w:t xml:space="preserve"> 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7/24 órás ügyelet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Napi beszámolók, összefoglalók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Honlapon megjelenítés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Összesítések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Elemzések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 xml:space="preserve">Eseményekhez kötődő kockázatbecslések (jód, alumínium, dioxin, </w:t>
      </w:r>
      <w:proofErr w:type="spellStart"/>
      <w:r w:rsidRPr="009A5601">
        <w:rPr>
          <w:color w:val="FF0000"/>
        </w:rPr>
        <w:t>peszticid</w:t>
      </w:r>
      <w:proofErr w:type="spellEnd"/>
      <w:r w:rsidRPr="009A5601">
        <w:rPr>
          <w:color w:val="FF0000"/>
        </w:rPr>
        <w:t xml:space="preserve">, </w:t>
      </w:r>
      <w:proofErr w:type="spellStart"/>
      <w:r w:rsidRPr="009A5601">
        <w:rPr>
          <w:color w:val="FF0000"/>
        </w:rPr>
        <w:t>étrendkiegészítő</w:t>
      </w:r>
      <w:proofErr w:type="spellEnd"/>
      <w:r w:rsidRPr="009A5601">
        <w:rPr>
          <w:color w:val="FF0000"/>
        </w:rPr>
        <w:t xml:space="preserve"> </w:t>
      </w:r>
      <w:proofErr w:type="spellStart"/>
      <w:r w:rsidRPr="009A5601">
        <w:rPr>
          <w:color w:val="FF0000"/>
        </w:rPr>
        <w:t>stb</w:t>
      </w:r>
      <w:proofErr w:type="spellEnd"/>
      <w:r w:rsidRPr="009A5601">
        <w:rPr>
          <w:color w:val="FF0000"/>
        </w:rPr>
        <w:t>)</w:t>
      </w:r>
    </w:p>
    <w:p w:rsidR="009A5601" w:rsidRPr="009A5601" w:rsidRDefault="009A5601" w:rsidP="009A5601">
      <w:pPr>
        <w:numPr>
          <w:ilvl w:val="2"/>
          <w:numId w:val="10"/>
        </w:numPr>
        <w:spacing w:after="0"/>
        <w:rPr>
          <w:color w:val="FF0000"/>
        </w:rPr>
      </w:pPr>
      <w:r w:rsidRPr="009A5601">
        <w:rPr>
          <w:color w:val="FF0000"/>
        </w:rPr>
        <w:t>angol + német + francia</w:t>
      </w:r>
    </w:p>
    <w:p w:rsidR="009A5601" w:rsidRPr="00086959" w:rsidRDefault="009A5601" w:rsidP="009A5601">
      <w:pPr>
        <w:spacing w:after="0"/>
        <w:rPr>
          <w:color w:val="FF0000"/>
        </w:rPr>
      </w:pPr>
    </w:p>
    <w:p w:rsidR="000B76B3" w:rsidRPr="00086959" w:rsidRDefault="000B76B3" w:rsidP="00086959">
      <w:pPr>
        <w:spacing w:after="0"/>
        <w:rPr>
          <w:color w:val="FF0000"/>
        </w:rPr>
      </w:pPr>
      <w:r w:rsidRPr="00086959">
        <w:rPr>
          <w:b/>
          <w:bCs/>
          <w:color w:val="FF0000"/>
        </w:rPr>
        <w:t xml:space="preserve">INFOSAN, INFOSAN </w:t>
      </w:r>
      <w:proofErr w:type="spellStart"/>
      <w:r w:rsidRPr="00086959">
        <w:rPr>
          <w:b/>
          <w:bCs/>
          <w:color w:val="FF0000"/>
        </w:rPr>
        <w:t>Emergency</w:t>
      </w:r>
      <w:proofErr w:type="spellEnd"/>
      <w:r w:rsidRPr="00086959">
        <w:rPr>
          <w:b/>
          <w:bCs/>
          <w:color w:val="FF0000"/>
        </w:rPr>
        <w:t xml:space="preserve"> </w:t>
      </w:r>
      <w:r w:rsidR="00454CD0">
        <w:rPr>
          <w:b/>
          <w:bCs/>
          <w:color w:val="FF0000"/>
        </w:rPr>
        <w:t>(nemzetközi)</w:t>
      </w:r>
      <w:r w:rsidRPr="00086959">
        <w:rPr>
          <w:b/>
          <w:bCs/>
          <w:color w:val="FF0000"/>
        </w:rPr>
        <w:br/>
      </w:r>
      <w:r w:rsidRPr="00086959">
        <w:rPr>
          <w:color w:val="FF0000"/>
          <w:lang w:val="en-US"/>
        </w:rPr>
        <w:t>International Food Safety Authorities Network</w:t>
      </w:r>
      <w:r w:rsidRPr="00086959">
        <w:rPr>
          <w:color w:val="FF0000"/>
        </w:rPr>
        <w:br/>
      </w:r>
      <w:r w:rsidRPr="009A5601">
        <w:rPr>
          <w:b/>
          <w:color w:val="FF0000"/>
        </w:rPr>
        <w:t>Élelmiszerbiztonsági hatóságok nemzetközi hálózata</w:t>
      </w:r>
    </w:p>
    <w:p w:rsidR="00000000" w:rsidRPr="009A5601" w:rsidRDefault="00B97436" w:rsidP="00086959">
      <w:pPr>
        <w:numPr>
          <w:ilvl w:val="1"/>
          <w:numId w:val="11"/>
        </w:numPr>
        <w:spacing w:after="0"/>
        <w:rPr>
          <w:b/>
          <w:color w:val="FF0000"/>
        </w:rPr>
      </w:pPr>
      <w:r w:rsidRPr="009A5601">
        <w:rPr>
          <w:b/>
          <w:color w:val="FF0000"/>
        </w:rPr>
        <w:lastRenderedPageBreak/>
        <w:t xml:space="preserve">a WHO működteti a </w:t>
      </w:r>
      <w:proofErr w:type="spellStart"/>
      <w:r w:rsidRPr="009A5601">
        <w:rPr>
          <w:b/>
          <w:color w:val="FF0000"/>
        </w:rPr>
        <w:t>FAO-val</w:t>
      </w:r>
      <w:proofErr w:type="spellEnd"/>
      <w:r w:rsidRPr="009A5601">
        <w:rPr>
          <w:b/>
          <w:color w:val="FF0000"/>
        </w:rPr>
        <w:t xml:space="preserve"> együttműködésben</w:t>
      </w:r>
    </w:p>
    <w:p w:rsidR="00000000" w:rsidRPr="009A5601" w:rsidRDefault="00B97436" w:rsidP="00086959">
      <w:pPr>
        <w:numPr>
          <w:ilvl w:val="1"/>
          <w:numId w:val="11"/>
        </w:numPr>
        <w:spacing w:after="0"/>
        <w:rPr>
          <w:b/>
          <w:color w:val="FF0000"/>
        </w:rPr>
      </w:pPr>
      <w:r w:rsidRPr="009A5601">
        <w:rPr>
          <w:b/>
          <w:color w:val="FF0000"/>
        </w:rPr>
        <w:t>Hazai kapcsolattartó: NÉBIH-ÉKI</w:t>
      </w:r>
      <w:r w:rsidRPr="009A5601">
        <w:rPr>
          <w:b/>
          <w:bCs/>
          <w:color w:val="FF0000"/>
        </w:rPr>
        <w:t xml:space="preserve"> </w:t>
      </w:r>
    </w:p>
    <w:p w:rsidR="009A5601" w:rsidRPr="00086959" w:rsidRDefault="009A5601" w:rsidP="009A5601">
      <w:pPr>
        <w:spacing w:after="0"/>
        <w:ind w:left="1440"/>
        <w:rPr>
          <w:color w:val="FF0000"/>
        </w:rPr>
      </w:pPr>
    </w:p>
    <w:p w:rsidR="000B76B3" w:rsidRDefault="000B76B3" w:rsidP="00086959">
      <w:pPr>
        <w:spacing w:after="0"/>
        <w:rPr>
          <w:b/>
          <w:bCs/>
        </w:rPr>
      </w:pPr>
      <w:r w:rsidRPr="000B76B3">
        <w:rPr>
          <w:b/>
          <w:bCs/>
        </w:rPr>
        <w:t>Nemzetközi humán-egészségügyi gyors veszélyjelző/információs rendszerek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EWRS</w:t>
      </w:r>
      <w:r w:rsidRPr="000B76B3">
        <w:t xml:space="preserve"> </w:t>
      </w:r>
      <w:r w:rsidRPr="000B76B3">
        <w:br/>
      </w:r>
      <w:hyperlink r:id="rId6" w:history="1">
        <w:r w:rsidRPr="000B76B3">
          <w:rPr>
            <w:rStyle w:val="Hiperhivatkozs"/>
            <w:lang w:val="en-US"/>
          </w:rPr>
          <w:t>Early Warning and Response System</w:t>
        </w:r>
      </w:hyperlink>
      <w:r w:rsidRPr="000B76B3">
        <w:br/>
        <w:t>Korai Figyelmeztető és Gyorsreagáló Rendszer</w:t>
      </w:r>
      <w:r w:rsidRPr="000B76B3">
        <w:br/>
        <w:t>Jelentendő fertőző humán megbetegedések</w:t>
      </w:r>
    </w:p>
    <w:p w:rsidR="00000000" w:rsidRPr="000B76B3" w:rsidRDefault="00B97436" w:rsidP="00086959">
      <w:pPr>
        <w:numPr>
          <w:ilvl w:val="2"/>
          <w:numId w:val="12"/>
        </w:numPr>
        <w:spacing w:after="0"/>
      </w:pPr>
      <w:r w:rsidRPr="000B76B3">
        <w:t xml:space="preserve">Az </w:t>
      </w:r>
      <w:r w:rsidRPr="000B76B3">
        <w:t xml:space="preserve">Európai Betegségmegelőzési és Járványvédelmi Központ (European Centre </w:t>
      </w:r>
      <w:proofErr w:type="spellStart"/>
      <w:r w:rsidRPr="000B76B3">
        <w:t>for</w:t>
      </w:r>
      <w:proofErr w:type="spellEnd"/>
      <w:r w:rsidRPr="000B76B3">
        <w:t xml:space="preserve"> </w:t>
      </w:r>
      <w:proofErr w:type="spellStart"/>
      <w:r w:rsidRPr="000B76B3">
        <w:t>Disease</w:t>
      </w:r>
      <w:proofErr w:type="spellEnd"/>
      <w:r w:rsidRPr="000B76B3">
        <w:t xml:space="preserve"> </w:t>
      </w:r>
      <w:proofErr w:type="spellStart"/>
      <w:r w:rsidRPr="000B76B3">
        <w:t>Prevention</w:t>
      </w:r>
      <w:proofErr w:type="spellEnd"/>
      <w:r w:rsidRPr="000B76B3">
        <w:t xml:space="preserve"> and </w:t>
      </w:r>
      <w:proofErr w:type="spellStart"/>
      <w:r w:rsidRPr="000B76B3">
        <w:t>Control</w:t>
      </w:r>
      <w:proofErr w:type="spellEnd"/>
      <w:r w:rsidRPr="000B76B3">
        <w:t>, ECDC) működteti</w:t>
      </w:r>
    </w:p>
    <w:p w:rsidR="00000000" w:rsidRPr="000B76B3" w:rsidRDefault="00B97436" w:rsidP="00086959">
      <w:pPr>
        <w:numPr>
          <w:ilvl w:val="2"/>
          <w:numId w:val="12"/>
        </w:numPr>
        <w:spacing w:after="0"/>
      </w:pPr>
      <w:r w:rsidRPr="000B76B3">
        <w:t>Hazai kapcsolattartó: Országos Epidemiológiai Központ (OEK)</w:t>
      </w:r>
    </w:p>
    <w:p w:rsidR="000B76B3" w:rsidRPr="000B76B3" w:rsidRDefault="000B76B3" w:rsidP="00086959">
      <w:pPr>
        <w:spacing w:after="0"/>
      </w:pPr>
      <w:r w:rsidRPr="000B76B3">
        <w:t xml:space="preserve"> </w:t>
      </w:r>
      <w:r w:rsidRPr="000B76B3">
        <w:rPr>
          <w:b/>
          <w:bCs/>
        </w:rPr>
        <w:t>HEDIS</w:t>
      </w:r>
      <w:r w:rsidRPr="000B76B3">
        <w:t xml:space="preserve"> (</w:t>
      </w:r>
      <w:hyperlink r:id="rId7" w:history="1">
        <w:r w:rsidRPr="000B76B3">
          <w:rPr>
            <w:rStyle w:val="Hiperhivatkozs"/>
            <w:lang w:val="en-US"/>
          </w:rPr>
          <w:t xml:space="preserve">Health Emergency </w:t>
        </w:r>
      </w:hyperlink>
      <w:hyperlink r:id="rId8" w:history="1">
        <w:r w:rsidRPr="000B76B3">
          <w:rPr>
            <w:rStyle w:val="Hiperhivatkozs"/>
          </w:rPr>
          <w:t>and</w:t>
        </w:r>
      </w:hyperlink>
      <w:hyperlink r:id="rId9" w:history="1">
        <w:r w:rsidRPr="000B76B3">
          <w:rPr>
            <w:rStyle w:val="Hiperhivatkozs"/>
            <w:lang w:val="en-US"/>
          </w:rPr>
          <w:t xml:space="preserve"> Diseases Information System</w:t>
        </w:r>
      </w:hyperlink>
      <w:r w:rsidRPr="000B76B3">
        <w:t>)</w:t>
      </w:r>
      <w:r w:rsidRPr="000B76B3">
        <w:br/>
        <w:t>Országhatárokon átnyúló egészségi kockázatok kezelése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Egyéb: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CARRA NET</w:t>
      </w:r>
      <w:r w:rsidRPr="000B76B3">
        <w:t xml:space="preserve"> (</w:t>
      </w:r>
      <w:r w:rsidRPr="000B76B3">
        <w:rPr>
          <w:lang w:val="en-GB"/>
        </w:rPr>
        <w:t>Chemical and Radiation Risk Assessment Network</w:t>
      </w:r>
      <w:r w:rsidRPr="000B76B3">
        <w:t xml:space="preserve">) kiépítés alatt 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  <w:lang w:val="en-US"/>
        </w:rPr>
        <w:t>RAS-BICHAT</w:t>
      </w:r>
      <w:r w:rsidRPr="000B76B3">
        <w:rPr>
          <w:lang w:val="en-US"/>
        </w:rPr>
        <w:t xml:space="preserve"> (Rapid Alert System for</w:t>
      </w:r>
      <w:r w:rsidRPr="000B76B3">
        <w:t xml:space="preserve"> </w:t>
      </w:r>
      <w:r w:rsidRPr="000B76B3">
        <w:rPr>
          <w:lang w:val="en-US"/>
        </w:rPr>
        <w:t>Biological</w:t>
      </w:r>
      <w:r w:rsidRPr="000B76B3">
        <w:t xml:space="preserve"> </w:t>
      </w:r>
      <w:r w:rsidRPr="000B76B3">
        <w:rPr>
          <w:lang w:val="en-US"/>
        </w:rPr>
        <w:t>and Chemical</w:t>
      </w:r>
      <w:r w:rsidRPr="000B76B3">
        <w:t xml:space="preserve"> </w:t>
      </w:r>
      <w:r w:rsidRPr="000B76B3">
        <w:rPr>
          <w:lang w:val="en-US"/>
        </w:rPr>
        <w:t>Attacks</w:t>
      </w:r>
      <w:r w:rsidRPr="000B76B3">
        <w:t xml:space="preserve"> </w:t>
      </w:r>
      <w:r w:rsidRPr="000B76B3">
        <w:rPr>
          <w:lang w:val="en-US"/>
        </w:rPr>
        <w:t>and</w:t>
      </w:r>
      <w:r w:rsidRPr="000B76B3">
        <w:t xml:space="preserve"> </w:t>
      </w:r>
      <w:r w:rsidRPr="000B76B3">
        <w:rPr>
          <w:lang w:val="en-US"/>
        </w:rPr>
        <w:t>Threats</w:t>
      </w:r>
      <w:proofErr w:type="gramStart"/>
      <w:r w:rsidRPr="000B76B3">
        <w:rPr>
          <w:lang w:val="en-US"/>
        </w:rPr>
        <w:t>)</w:t>
      </w:r>
      <w:proofErr w:type="gramEnd"/>
      <w:r w:rsidRPr="000B76B3">
        <w:br/>
        <w:t>Kémiai, biológiai és nukleáris ágensek szándékos kijuttatása (terrorcselekmény)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RAS CHEM</w:t>
      </w:r>
      <w:r w:rsidRPr="000B76B3">
        <w:t xml:space="preserve"> információ megosztó platform, kiépítés alatt</w:t>
      </w: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Nemzetközi állategészségügyi, növény-egészségügyi gyors veszélyjelző/információs rendszerek</w:t>
      </w:r>
    </w:p>
    <w:p w:rsidR="00000000" w:rsidRPr="000B76B3" w:rsidRDefault="00B97436" w:rsidP="00086959">
      <w:pPr>
        <w:numPr>
          <w:ilvl w:val="0"/>
          <w:numId w:val="13"/>
        </w:numPr>
        <w:spacing w:after="0"/>
      </w:pPr>
      <w:r w:rsidRPr="000B76B3">
        <w:rPr>
          <w:b/>
          <w:bCs/>
          <w:lang w:val="en-US"/>
        </w:rPr>
        <w:t xml:space="preserve">TRACES </w:t>
      </w:r>
      <w:r w:rsidRPr="000B76B3">
        <w:rPr>
          <w:lang w:val="en-US"/>
        </w:rPr>
        <w:t>(</w:t>
      </w:r>
      <w:hyperlink r:id="rId10" w:history="1">
        <w:r w:rsidRPr="000B76B3">
          <w:rPr>
            <w:rStyle w:val="Hiperhivatkozs"/>
            <w:color w:val="auto"/>
            <w:lang w:val="en-US"/>
          </w:rPr>
          <w:t>Trade Control</w:t>
        </w:r>
      </w:hyperlink>
      <w:hyperlink r:id="rId11" w:history="1">
        <w:r w:rsidRPr="000B76B3">
          <w:rPr>
            <w:rStyle w:val="Hiperhivatkozs"/>
            <w:color w:val="auto"/>
          </w:rPr>
          <w:t xml:space="preserve"> </w:t>
        </w:r>
      </w:hyperlink>
      <w:hyperlink r:id="rId12" w:history="1">
        <w:r w:rsidRPr="000B76B3">
          <w:rPr>
            <w:rStyle w:val="Hiperhivatkozs"/>
            <w:color w:val="auto"/>
            <w:lang w:val="en-US"/>
          </w:rPr>
          <w:t>and Export System</w:t>
        </w:r>
      </w:hyperlink>
      <w:r w:rsidRPr="000B76B3">
        <w:rPr>
          <w:lang w:val="en-US"/>
        </w:rPr>
        <w:t>)</w:t>
      </w:r>
      <w:r w:rsidRPr="000B76B3">
        <w:t xml:space="preserve"> </w:t>
      </w:r>
      <w:r w:rsidRPr="000B76B3">
        <w:rPr>
          <w:b/>
          <w:bCs/>
        </w:rPr>
        <w:br/>
      </w:r>
      <w:r w:rsidRPr="000B76B3">
        <w:t xml:space="preserve">Élőállatok, és állati eredetű termékek szállítása </w:t>
      </w:r>
      <w:r w:rsidRPr="000B76B3">
        <w:br/>
        <w:t>(tagállamok között, export, import)</w:t>
      </w:r>
    </w:p>
    <w:p w:rsidR="00000000" w:rsidRPr="000B76B3" w:rsidRDefault="00B97436" w:rsidP="00086959">
      <w:pPr>
        <w:numPr>
          <w:ilvl w:val="0"/>
          <w:numId w:val="13"/>
        </w:numPr>
        <w:spacing w:after="0"/>
      </w:pPr>
      <w:r w:rsidRPr="000B76B3">
        <w:rPr>
          <w:b/>
          <w:bCs/>
        </w:rPr>
        <w:t>ADNS</w:t>
      </w:r>
      <w:r w:rsidRPr="000B76B3">
        <w:t xml:space="preserve"> </w:t>
      </w:r>
      <w:r w:rsidRPr="000B76B3">
        <w:t>(</w:t>
      </w:r>
      <w:hyperlink r:id="rId13" w:history="1">
        <w:r w:rsidRPr="000B76B3">
          <w:rPr>
            <w:rStyle w:val="Hiperhivatkozs"/>
            <w:color w:val="auto"/>
            <w:lang w:val="en-GB"/>
          </w:rPr>
          <w:t>Animal Disease Notification System</w:t>
        </w:r>
      </w:hyperlink>
      <w:r w:rsidRPr="000B76B3">
        <w:t xml:space="preserve">) </w:t>
      </w:r>
      <w:r w:rsidRPr="000B76B3">
        <w:br/>
        <w:t>Állati betegségek tájékoztató rendszere, bejelentés köteles járvány</w:t>
      </w:r>
    </w:p>
    <w:p w:rsidR="00000000" w:rsidRPr="000B76B3" w:rsidRDefault="00B97436" w:rsidP="00086959">
      <w:pPr>
        <w:numPr>
          <w:ilvl w:val="0"/>
          <w:numId w:val="13"/>
        </w:numPr>
        <w:spacing w:after="0"/>
      </w:pPr>
      <w:r w:rsidRPr="000B76B3">
        <w:rPr>
          <w:b/>
          <w:bCs/>
          <w:lang w:val="en-US"/>
        </w:rPr>
        <w:t>GLEWS</w:t>
      </w:r>
      <w:r w:rsidRPr="000B76B3">
        <w:rPr>
          <w:lang w:val="en-US"/>
        </w:rPr>
        <w:t xml:space="preserve">: </w:t>
      </w:r>
      <w:r w:rsidRPr="000B76B3">
        <w:t>(</w:t>
      </w:r>
      <w:hyperlink r:id="rId14" w:history="1">
        <w:r w:rsidRPr="000B76B3">
          <w:rPr>
            <w:rStyle w:val="Hiperhivatkozs"/>
            <w:color w:val="auto"/>
            <w:lang w:val="en-US"/>
          </w:rPr>
          <w:t>Glo</w:t>
        </w:r>
        <w:r w:rsidRPr="000B76B3">
          <w:rPr>
            <w:rStyle w:val="Hiperhivatkozs"/>
            <w:color w:val="auto"/>
            <w:lang w:val="en-US"/>
          </w:rPr>
          <w:t xml:space="preserve">bal Early Warning System for Major Animal Diseases, including </w:t>
        </w:r>
      </w:hyperlink>
      <w:hyperlink r:id="rId15" w:history="1">
        <w:proofErr w:type="spellStart"/>
        <w:r w:rsidRPr="000B76B3">
          <w:rPr>
            <w:rStyle w:val="Hiperhivatkozs"/>
            <w:color w:val="auto"/>
            <w:lang w:val="en-US"/>
          </w:rPr>
          <w:t>zoonoses</w:t>
        </w:r>
        <w:proofErr w:type="spellEnd"/>
      </w:hyperlink>
      <w:r w:rsidRPr="000B76B3">
        <w:t xml:space="preserve">) </w:t>
      </w:r>
      <w:r w:rsidRPr="000B76B3">
        <w:t>WHO-FAO-OIE</w:t>
      </w:r>
    </w:p>
    <w:p w:rsidR="00000000" w:rsidRDefault="00B97436" w:rsidP="00086959">
      <w:pPr>
        <w:numPr>
          <w:ilvl w:val="0"/>
          <w:numId w:val="13"/>
        </w:numPr>
        <w:spacing w:after="0"/>
      </w:pPr>
      <w:r w:rsidRPr="000B76B3">
        <w:rPr>
          <w:b/>
          <w:bCs/>
          <w:lang w:val="en-US"/>
        </w:rPr>
        <w:t>EUROPHYT</w:t>
      </w:r>
      <w:r w:rsidRPr="000B76B3">
        <w:rPr>
          <w:lang w:val="en-US"/>
        </w:rPr>
        <w:t xml:space="preserve"> (</w:t>
      </w:r>
      <w:hyperlink r:id="rId16" w:history="1">
        <w:r w:rsidRPr="000B76B3">
          <w:rPr>
            <w:rStyle w:val="Hiperhivatkozs"/>
            <w:color w:val="auto"/>
            <w:lang w:val="en-US"/>
          </w:rPr>
          <w:t>European Network of Plant</w:t>
        </w:r>
      </w:hyperlink>
      <w:hyperlink r:id="rId17" w:history="1">
        <w:r w:rsidRPr="000B76B3">
          <w:rPr>
            <w:rStyle w:val="Hiperhivatkozs"/>
            <w:color w:val="auto"/>
          </w:rPr>
          <w:t xml:space="preserve"> </w:t>
        </w:r>
      </w:hyperlink>
      <w:hyperlink r:id="rId18" w:history="1">
        <w:r w:rsidRPr="000B76B3">
          <w:rPr>
            <w:rStyle w:val="Hiperhivatkozs"/>
            <w:color w:val="auto"/>
            <w:lang w:val="en-US"/>
          </w:rPr>
          <w:t>Health Information</w:t>
        </w:r>
      </w:hyperlink>
      <w:r w:rsidRPr="000B76B3">
        <w:rPr>
          <w:lang w:val="en-US"/>
        </w:rPr>
        <w:t>)</w:t>
      </w:r>
      <w:r w:rsidRPr="000B76B3">
        <w:br/>
      </w:r>
      <w:r w:rsidRPr="000B76B3">
        <w:t>Növény-egészségügyi visszautasítások rendszere</w:t>
      </w:r>
    </w:p>
    <w:p w:rsidR="009A5601" w:rsidRPr="000B76B3" w:rsidRDefault="009A5601" w:rsidP="009A5601">
      <w:pPr>
        <w:spacing w:after="0"/>
        <w:ind w:left="720"/>
      </w:pPr>
    </w:p>
    <w:p w:rsidR="000B76B3" w:rsidRPr="000B76B3" w:rsidRDefault="000B76B3" w:rsidP="00086959">
      <w:pPr>
        <w:spacing w:after="0"/>
      </w:pPr>
      <w:r w:rsidRPr="000B76B3">
        <w:rPr>
          <w:b/>
          <w:bCs/>
        </w:rPr>
        <w:t>Összes RASFF bejelentés számának alakulása</w:t>
      </w:r>
      <w:r w:rsidRPr="000B76B3">
        <w:rPr>
          <w:b/>
          <w:bCs/>
        </w:rPr>
        <w:br/>
        <w:t>EU 2000 - 2015</w:t>
      </w:r>
    </w:p>
    <w:p w:rsidR="007E656A" w:rsidRDefault="000B76B3" w:rsidP="00086959">
      <w:pPr>
        <w:spacing w:after="0"/>
        <w:rPr>
          <w:color w:val="FF0000"/>
        </w:rPr>
      </w:pPr>
      <w:r w:rsidRPr="000B76B3">
        <w:rPr>
          <w:color w:val="FF0000"/>
        </w:rPr>
        <w:drawing>
          <wp:inline distT="0" distB="0" distL="0" distR="0">
            <wp:extent cx="5762625" cy="2771775"/>
            <wp:effectExtent l="1905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B76B3" w:rsidRPr="007E656A" w:rsidRDefault="000B76B3" w:rsidP="00086959">
      <w:pPr>
        <w:spacing w:after="0"/>
        <w:rPr>
          <w:color w:val="FF0000"/>
        </w:rPr>
      </w:pPr>
      <w:r w:rsidRPr="000B76B3">
        <w:rPr>
          <w:b/>
          <w:bCs/>
        </w:rPr>
        <w:lastRenderedPageBreak/>
        <w:t xml:space="preserve">Egy példa: </w:t>
      </w:r>
    </w:p>
    <w:p w:rsidR="000B76B3" w:rsidRDefault="000B76B3" w:rsidP="00086959">
      <w:pPr>
        <w:spacing w:after="0"/>
      </w:pPr>
      <w:r w:rsidRPr="000B76B3">
        <w:drawing>
          <wp:inline distT="0" distB="0" distL="0" distR="0">
            <wp:extent cx="5760720" cy="5145819"/>
            <wp:effectExtent l="19050" t="0" r="0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1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601" w:rsidRDefault="009A5601" w:rsidP="00086959">
      <w:pPr>
        <w:spacing w:after="0"/>
        <w:rPr>
          <w:b/>
          <w:bCs/>
        </w:rPr>
      </w:pPr>
    </w:p>
    <w:p w:rsidR="000B76B3" w:rsidRPr="000B76B3" w:rsidRDefault="00086959" w:rsidP="00086959">
      <w:pPr>
        <w:spacing w:after="0"/>
      </w:pPr>
      <w:r w:rsidRPr="00086959">
        <w:rPr>
          <w:b/>
          <w:bCs/>
        </w:rPr>
        <w:t>Események kiindulási pontja (2014)</w:t>
      </w:r>
    </w:p>
    <w:p w:rsidR="00086959" w:rsidRPr="00086959" w:rsidRDefault="00B97436" w:rsidP="00086959">
      <w:pPr>
        <w:numPr>
          <w:ilvl w:val="0"/>
          <w:numId w:val="15"/>
        </w:numPr>
        <w:spacing w:after="0"/>
      </w:pPr>
      <w:r w:rsidRPr="00086959">
        <w:t xml:space="preserve">Nemzetközi bejelentés: </w:t>
      </w:r>
      <w:r w:rsidRPr="00086959">
        <w:t>114 ügy</w:t>
      </w:r>
    </w:p>
    <w:p w:rsidR="00086959" w:rsidRPr="00086959" w:rsidRDefault="00B97436" w:rsidP="00086959">
      <w:pPr>
        <w:numPr>
          <w:ilvl w:val="0"/>
          <w:numId w:val="16"/>
        </w:numPr>
        <w:spacing w:after="0"/>
      </w:pPr>
      <w:r w:rsidRPr="00086959">
        <w:t>Lakossági bejelentés (zöldszám): 700</w:t>
      </w:r>
      <w:r w:rsidR="009A5601">
        <w:t xml:space="preserve"> lehetséges ügy</w:t>
      </w:r>
    </w:p>
    <w:p w:rsidR="00000000" w:rsidRPr="00086959" w:rsidRDefault="00B97436" w:rsidP="00086959">
      <w:pPr>
        <w:numPr>
          <w:ilvl w:val="0"/>
          <w:numId w:val="17"/>
        </w:numPr>
        <w:spacing w:after="0"/>
      </w:pPr>
      <w:r w:rsidRPr="00086959">
        <w:t>Társhatósági bejelentés</w:t>
      </w:r>
    </w:p>
    <w:p w:rsidR="00000000" w:rsidRDefault="009A5601" w:rsidP="00086959">
      <w:pPr>
        <w:numPr>
          <w:ilvl w:val="0"/>
          <w:numId w:val="17"/>
        </w:numPr>
        <w:spacing w:after="0"/>
      </w:pPr>
      <w:r>
        <w:t>Monitoring mintavétel: 1 millió db</w:t>
      </w:r>
    </w:p>
    <w:p w:rsidR="009A5601" w:rsidRPr="00086959" w:rsidRDefault="009A5601" w:rsidP="009A5601">
      <w:pPr>
        <w:spacing w:after="0"/>
        <w:ind w:left="720"/>
      </w:pPr>
    </w:p>
    <w:p w:rsidR="00086959" w:rsidRDefault="00086959" w:rsidP="00086959">
      <w:pPr>
        <w:spacing w:after="0"/>
        <w:rPr>
          <w:b/>
          <w:bCs/>
        </w:rPr>
      </w:pPr>
      <w:proofErr w:type="spellStart"/>
      <w:r w:rsidRPr="00086959">
        <w:rPr>
          <w:b/>
          <w:bCs/>
        </w:rPr>
        <w:t>Guar</w:t>
      </w:r>
      <w:proofErr w:type="spellEnd"/>
      <w:r w:rsidRPr="00086959">
        <w:rPr>
          <w:b/>
          <w:bCs/>
        </w:rPr>
        <w:t xml:space="preserve"> gumi krízis (2007)</w:t>
      </w:r>
    </w:p>
    <w:p w:rsidR="00000000" w:rsidRPr="00086959" w:rsidRDefault="00B97436" w:rsidP="00086959">
      <w:pPr>
        <w:numPr>
          <w:ilvl w:val="0"/>
          <w:numId w:val="18"/>
        </w:numPr>
        <w:spacing w:after="0"/>
      </w:pPr>
      <w:r w:rsidRPr="00086959">
        <w:t>Német vizsgálat (július 13.) – formabontó jellegű (olaj- és zsírtartalmú összetevőkben</w:t>
      </w:r>
      <w:r w:rsidRPr="00086959">
        <w:t xml:space="preserve"> vizsgálták eddig)</w:t>
      </w:r>
    </w:p>
    <w:p w:rsidR="00000000" w:rsidRPr="00086959" w:rsidRDefault="00B97436" w:rsidP="00086959">
      <w:pPr>
        <w:numPr>
          <w:ilvl w:val="0"/>
          <w:numId w:val="18"/>
        </w:numPr>
        <w:spacing w:after="0"/>
      </w:pPr>
      <w:r w:rsidRPr="00086959">
        <w:t>Figyelmeztetés az Európai Bizottságtól (július 25.)</w:t>
      </w:r>
    </w:p>
    <w:p w:rsidR="00000000" w:rsidRPr="00086959" w:rsidRDefault="00B97436" w:rsidP="00086959">
      <w:pPr>
        <w:numPr>
          <w:ilvl w:val="0"/>
          <w:numId w:val="18"/>
        </w:numPr>
        <w:spacing w:after="0"/>
      </w:pPr>
      <w:r w:rsidRPr="00086959">
        <w:t>9 tagállam és 4 egyéb állam</w:t>
      </w:r>
    </w:p>
    <w:p w:rsidR="00000000" w:rsidRPr="00086959" w:rsidRDefault="00B97436" w:rsidP="00086959">
      <w:pPr>
        <w:numPr>
          <w:ilvl w:val="0"/>
          <w:numId w:val="18"/>
        </w:numPr>
        <w:spacing w:after="0"/>
      </w:pPr>
      <w:r w:rsidRPr="00086959">
        <w:t>Élénk médiafigyelem, sokszor naponta több cikk, 5 héten keresztül</w:t>
      </w:r>
    </w:p>
    <w:p w:rsidR="00000000" w:rsidRDefault="00B97436" w:rsidP="00086959">
      <w:pPr>
        <w:numPr>
          <w:ilvl w:val="0"/>
          <w:numId w:val="18"/>
        </w:numPr>
        <w:spacing w:after="0"/>
      </w:pPr>
      <w:r w:rsidRPr="00086959">
        <w:t>Kockázatcsökkentés céljából élénk kommunikáció</w:t>
      </w:r>
    </w:p>
    <w:p w:rsidR="009A5601" w:rsidRPr="00086959" w:rsidRDefault="009A5601" w:rsidP="009A5601">
      <w:pPr>
        <w:spacing w:after="0"/>
        <w:ind w:left="720"/>
      </w:pPr>
    </w:p>
    <w:p w:rsidR="00086959" w:rsidRDefault="00086959" w:rsidP="00086959">
      <w:pPr>
        <w:spacing w:after="0"/>
        <w:rPr>
          <w:b/>
          <w:bCs/>
        </w:rPr>
      </w:pPr>
      <w:r w:rsidRPr="00086959">
        <w:rPr>
          <w:b/>
          <w:bCs/>
        </w:rPr>
        <w:t>Tiszafüredi lépfene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Tiszafüred-Kócsújfalu (Június 30) – helyszíni mintavétel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ÁDI eredmény július 2.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lastRenderedPageBreak/>
        <w:t>Azonnali járványügyi intézkedések és NSZSZ értesítése (</w:t>
      </w:r>
      <w:proofErr w:type="spellStart"/>
      <w:r w:rsidRPr="00086959">
        <w:t>Bőrantrax</w:t>
      </w:r>
      <w:proofErr w:type="spellEnd"/>
      <w:r w:rsidRPr="00086959">
        <w:t>, célzott AB kezelések)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Helyi zárlat, legeltetési tilalom, oltás elrendelése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Járványügyi nyomozás (</w:t>
      </w:r>
      <w:proofErr w:type="spellStart"/>
      <w:r w:rsidRPr="00086959">
        <w:t>Jún</w:t>
      </w:r>
      <w:proofErr w:type="spellEnd"/>
      <w:r w:rsidRPr="00086959">
        <w:t xml:space="preserve"> 21. i</w:t>
      </w:r>
      <w:r w:rsidRPr="00086959">
        <w:t>llegális vágás)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Július 4-én intézmények értesítése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2 konyha több mint ezer adag</w:t>
      </w:r>
    </w:p>
    <w:p w:rsidR="00000000" w:rsidRPr="00086959" w:rsidRDefault="00B97436" w:rsidP="00086959">
      <w:pPr>
        <w:numPr>
          <w:ilvl w:val="0"/>
          <w:numId w:val="19"/>
        </w:numPr>
        <w:spacing w:after="0"/>
      </w:pPr>
      <w:r w:rsidRPr="00086959">
        <w:t>Bezárás, szigorított fertőtlenítés</w:t>
      </w:r>
    </w:p>
    <w:p w:rsidR="00086959" w:rsidRDefault="00B97436" w:rsidP="00086959">
      <w:pPr>
        <w:numPr>
          <w:ilvl w:val="0"/>
          <w:numId w:val="19"/>
        </w:numPr>
        <w:spacing w:after="0"/>
      </w:pPr>
      <w:r w:rsidRPr="00086959">
        <w:t xml:space="preserve">29 M Ft bírság, rendőrségi feljelentés </w:t>
      </w:r>
    </w:p>
    <w:p w:rsidR="00000000" w:rsidRPr="00086959" w:rsidRDefault="00B97436" w:rsidP="00086959">
      <w:pPr>
        <w:numPr>
          <w:ilvl w:val="0"/>
          <w:numId w:val="20"/>
        </w:numPr>
        <w:spacing w:after="0"/>
      </w:pPr>
      <w:r w:rsidRPr="00086959">
        <w:t xml:space="preserve">3 </w:t>
      </w:r>
      <w:proofErr w:type="gramStart"/>
      <w:r w:rsidRPr="00086959">
        <w:t>gazdaság korlátozás</w:t>
      </w:r>
      <w:proofErr w:type="gramEnd"/>
      <w:r w:rsidRPr="00086959">
        <w:t xml:space="preserve"> alatt</w:t>
      </w:r>
    </w:p>
    <w:p w:rsidR="00000000" w:rsidRPr="00086959" w:rsidRDefault="00B97436" w:rsidP="00086959">
      <w:pPr>
        <w:numPr>
          <w:ilvl w:val="0"/>
          <w:numId w:val="20"/>
        </w:numPr>
        <w:spacing w:after="0"/>
      </w:pPr>
      <w:r w:rsidRPr="00086959">
        <w:t>Vakcinázás, fertőzött állományban 2x, védőkörzetben 1x</w:t>
      </w:r>
    </w:p>
    <w:p w:rsidR="00000000" w:rsidRPr="00086959" w:rsidRDefault="00B97436" w:rsidP="00086959">
      <w:pPr>
        <w:numPr>
          <w:ilvl w:val="0"/>
          <w:numId w:val="20"/>
        </w:numPr>
        <w:spacing w:after="0"/>
      </w:pPr>
      <w:proofErr w:type="gramStart"/>
      <w:r w:rsidRPr="00086959">
        <w:t xml:space="preserve">Augusztus  </w:t>
      </w:r>
      <w:r w:rsidRPr="00086959">
        <w:t>19-én</w:t>
      </w:r>
      <w:proofErr w:type="gramEnd"/>
      <w:r w:rsidRPr="00086959">
        <w:t xml:space="preserve"> zárlat feloldása </w:t>
      </w:r>
    </w:p>
    <w:p w:rsidR="00000000" w:rsidRPr="00086959" w:rsidRDefault="00B97436" w:rsidP="00086959">
      <w:pPr>
        <w:numPr>
          <w:ilvl w:val="0"/>
          <w:numId w:val="20"/>
        </w:numPr>
        <w:spacing w:after="0"/>
      </w:pPr>
      <w:r w:rsidRPr="00086959">
        <w:t>11 000 négyzetméter fertőtlenítése, kutak betemetése</w:t>
      </w:r>
    </w:p>
    <w:p w:rsidR="00000000" w:rsidRPr="00086959" w:rsidRDefault="00B97436" w:rsidP="00086959">
      <w:pPr>
        <w:numPr>
          <w:ilvl w:val="0"/>
          <w:numId w:val="20"/>
        </w:numPr>
        <w:spacing w:after="0"/>
      </w:pPr>
      <w:r w:rsidRPr="00086959">
        <w:t xml:space="preserve">Hajdú Bihar és Borsod megyében is </w:t>
      </w:r>
    </w:p>
    <w:p w:rsidR="00000000" w:rsidRDefault="00B97436" w:rsidP="00086959">
      <w:pPr>
        <w:numPr>
          <w:ilvl w:val="0"/>
          <w:numId w:val="20"/>
        </w:numPr>
        <w:spacing w:after="0"/>
      </w:pPr>
      <w:r w:rsidRPr="00086959">
        <w:t xml:space="preserve">Központi adatbázis, vakcinázás állami támogatása </w:t>
      </w:r>
    </w:p>
    <w:p w:rsidR="009A5601" w:rsidRPr="00086959" w:rsidRDefault="009A5601" w:rsidP="009A5601">
      <w:pPr>
        <w:spacing w:after="0"/>
        <w:ind w:left="720"/>
      </w:pPr>
    </w:p>
    <w:p w:rsidR="00086959" w:rsidRDefault="00086959" w:rsidP="00086959">
      <w:pPr>
        <w:spacing w:after="0"/>
        <w:rPr>
          <w:b/>
          <w:bCs/>
        </w:rPr>
      </w:pPr>
      <w:r w:rsidRPr="00086959">
        <w:rPr>
          <w:b/>
          <w:bCs/>
        </w:rPr>
        <w:t>Mire figyelünk?</w:t>
      </w:r>
    </w:p>
    <w:p w:rsidR="00000000" w:rsidRPr="00086959" w:rsidRDefault="00B97436" w:rsidP="00086959">
      <w:pPr>
        <w:numPr>
          <w:ilvl w:val="0"/>
          <w:numId w:val="21"/>
        </w:numPr>
        <w:spacing w:after="0"/>
      </w:pPr>
      <w:r w:rsidRPr="00086959">
        <w:t>Feketekereskedelem – ismeretlen kockázat</w:t>
      </w:r>
    </w:p>
    <w:p w:rsidR="00000000" w:rsidRPr="00086959" w:rsidRDefault="00B97436" w:rsidP="00086959">
      <w:pPr>
        <w:numPr>
          <w:ilvl w:val="0"/>
          <w:numId w:val="21"/>
        </w:numPr>
        <w:spacing w:after="0"/>
      </w:pPr>
      <w:r w:rsidRPr="00086959">
        <w:t xml:space="preserve">Kockázatkommunikáció </w:t>
      </w:r>
      <w:r w:rsidRPr="00086959">
        <w:t>(tanácsadás vállalkozóknak, tudatos vásárló)</w:t>
      </w:r>
    </w:p>
    <w:p w:rsidR="00000000" w:rsidRPr="00086959" w:rsidRDefault="00B97436" w:rsidP="00086959">
      <w:pPr>
        <w:numPr>
          <w:ilvl w:val="0"/>
          <w:numId w:val="21"/>
        </w:numPr>
        <w:spacing w:after="0"/>
      </w:pPr>
      <w:r w:rsidRPr="00086959">
        <w:t>Innováció, fejlesztések (új eszközök, eljárások, anyagok, új termékkategóriák)</w:t>
      </w:r>
    </w:p>
    <w:p w:rsidR="00000000" w:rsidRPr="00086959" w:rsidRDefault="00B97436" w:rsidP="00086959">
      <w:pPr>
        <w:numPr>
          <w:ilvl w:val="0"/>
          <w:numId w:val="21"/>
        </w:numPr>
        <w:spacing w:after="0"/>
      </w:pPr>
      <w:r w:rsidRPr="00086959">
        <w:t xml:space="preserve">Új területek lehetnek: élelmiszerpazarlás </w:t>
      </w:r>
    </w:p>
    <w:p w:rsidR="00086959" w:rsidRPr="00086959" w:rsidRDefault="00086959" w:rsidP="00086959">
      <w:pPr>
        <w:spacing w:after="0"/>
      </w:pPr>
    </w:p>
    <w:p w:rsidR="000B76B3" w:rsidRPr="000B76B3" w:rsidRDefault="000B76B3" w:rsidP="00086959">
      <w:pPr>
        <w:spacing w:after="0"/>
        <w:rPr>
          <w:color w:val="FF0000"/>
        </w:rPr>
      </w:pPr>
    </w:p>
    <w:p w:rsidR="000B76B3" w:rsidRPr="000B76B3" w:rsidRDefault="000B76B3" w:rsidP="00086959">
      <w:pPr>
        <w:spacing w:after="0"/>
      </w:pPr>
    </w:p>
    <w:p w:rsidR="000B76B3" w:rsidRPr="000B76B3" w:rsidRDefault="000B76B3" w:rsidP="00086959">
      <w:pPr>
        <w:spacing w:after="0"/>
      </w:pPr>
    </w:p>
    <w:p w:rsidR="000B76B3" w:rsidRPr="000B76B3" w:rsidRDefault="000B76B3" w:rsidP="00086959">
      <w:pPr>
        <w:spacing w:after="0"/>
      </w:pPr>
    </w:p>
    <w:sectPr w:rsidR="000B76B3" w:rsidRPr="000B76B3" w:rsidSect="0000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7633"/>
    <w:multiLevelType w:val="hybridMultilevel"/>
    <w:tmpl w:val="7B84D9C8"/>
    <w:lvl w:ilvl="0" w:tplc="52D65F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808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2E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6D1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27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E7E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012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CD9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CD3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2053F6"/>
    <w:multiLevelType w:val="hybridMultilevel"/>
    <w:tmpl w:val="95348D42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4E1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C62F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76D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ED0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3019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6A8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A0C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6C16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456B67"/>
    <w:multiLevelType w:val="hybridMultilevel"/>
    <w:tmpl w:val="3F52B000"/>
    <w:lvl w:ilvl="0" w:tplc="7DFA4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E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81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24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04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0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A9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42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CD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785F77"/>
    <w:multiLevelType w:val="hybridMultilevel"/>
    <w:tmpl w:val="408CB976"/>
    <w:lvl w:ilvl="0" w:tplc="80FCA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6B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FEA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67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05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304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7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ED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AF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05398F"/>
    <w:multiLevelType w:val="hybridMultilevel"/>
    <w:tmpl w:val="D2C2023A"/>
    <w:lvl w:ilvl="0" w:tplc="C1A42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2A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CE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2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EE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48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0C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AA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231A09"/>
    <w:multiLevelType w:val="hybridMultilevel"/>
    <w:tmpl w:val="23CA6AFA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31CCB"/>
    <w:multiLevelType w:val="hybridMultilevel"/>
    <w:tmpl w:val="93B28368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50E90"/>
    <w:multiLevelType w:val="hybridMultilevel"/>
    <w:tmpl w:val="A5AADB02"/>
    <w:lvl w:ilvl="0" w:tplc="5A8C0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ED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6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1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E27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2D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6A6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E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A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D17A82"/>
    <w:multiLevelType w:val="hybridMultilevel"/>
    <w:tmpl w:val="25743BBC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B042A"/>
    <w:multiLevelType w:val="hybridMultilevel"/>
    <w:tmpl w:val="C36A52E0"/>
    <w:lvl w:ilvl="0" w:tplc="DBDC188C">
      <w:start w:val="1"/>
      <w:numFmt w:val="bullet"/>
      <w:lvlText w:val="•"/>
      <w:lvlJc w:val="left"/>
      <w:pPr>
        <w:tabs>
          <w:tab w:val="num" w:pos="2136"/>
        </w:tabs>
        <w:ind w:left="2136" w:hanging="360"/>
      </w:pPr>
      <w:rPr>
        <w:rFonts w:ascii="Arial" w:hAnsi="Arial" w:hint="default"/>
      </w:rPr>
    </w:lvl>
    <w:lvl w:ilvl="1" w:tplc="20C6C11E" w:tentative="1">
      <w:start w:val="1"/>
      <w:numFmt w:val="bullet"/>
      <w:lvlText w:val="•"/>
      <w:lvlJc w:val="left"/>
      <w:pPr>
        <w:tabs>
          <w:tab w:val="num" w:pos="2856"/>
        </w:tabs>
        <w:ind w:left="2856" w:hanging="360"/>
      </w:pPr>
      <w:rPr>
        <w:rFonts w:ascii="Arial" w:hAnsi="Arial" w:hint="default"/>
      </w:rPr>
    </w:lvl>
    <w:lvl w:ilvl="2" w:tplc="531E22AA" w:tentative="1">
      <w:start w:val="1"/>
      <w:numFmt w:val="bullet"/>
      <w:lvlText w:val="•"/>
      <w:lvlJc w:val="left"/>
      <w:pPr>
        <w:tabs>
          <w:tab w:val="num" w:pos="3576"/>
        </w:tabs>
        <w:ind w:left="3576" w:hanging="360"/>
      </w:pPr>
      <w:rPr>
        <w:rFonts w:ascii="Arial" w:hAnsi="Arial" w:hint="default"/>
      </w:rPr>
    </w:lvl>
    <w:lvl w:ilvl="3" w:tplc="1CEE5400" w:tentative="1">
      <w:start w:val="1"/>
      <w:numFmt w:val="bullet"/>
      <w:lvlText w:val="•"/>
      <w:lvlJc w:val="left"/>
      <w:pPr>
        <w:tabs>
          <w:tab w:val="num" w:pos="4296"/>
        </w:tabs>
        <w:ind w:left="4296" w:hanging="360"/>
      </w:pPr>
      <w:rPr>
        <w:rFonts w:ascii="Arial" w:hAnsi="Arial" w:hint="default"/>
      </w:rPr>
    </w:lvl>
    <w:lvl w:ilvl="4" w:tplc="D50A93D4" w:tentative="1">
      <w:start w:val="1"/>
      <w:numFmt w:val="bullet"/>
      <w:lvlText w:val="•"/>
      <w:lvlJc w:val="left"/>
      <w:pPr>
        <w:tabs>
          <w:tab w:val="num" w:pos="5016"/>
        </w:tabs>
        <w:ind w:left="5016" w:hanging="360"/>
      </w:pPr>
      <w:rPr>
        <w:rFonts w:ascii="Arial" w:hAnsi="Arial" w:hint="default"/>
      </w:rPr>
    </w:lvl>
    <w:lvl w:ilvl="5" w:tplc="A0C8BD50" w:tentative="1">
      <w:start w:val="1"/>
      <w:numFmt w:val="bullet"/>
      <w:lvlText w:val="•"/>
      <w:lvlJc w:val="left"/>
      <w:pPr>
        <w:tabs>
          <w:tab w:val="num" w:pos="5736"/>
        </w:tabs>
        <w:ind w:left="5736" w:hanging="360"/>
      </w:pPr>
      <w:rPr>
        <w:rFonts w:ascii="Arial" w:hAnsi="Arial" w:hint="default"/>
      </w:rPr>
    </w:lvl>
    <w:lvl w:ilvl="6" w:tplc="228A923C" w:tentative="1">
      <w:start w:val="1"/>
      <w:numFmt w:val="bullet"/>
      <w:lvlText w:val="•"/>
      <w:lvlJc w:val="left"/>
      <w:pPr>
        <w:tabs>
          <w:tab w:val="num" w:pos="6456"/>
        </w:tabs>
        <w:ind w:left="6456" w:hanging="360"/>
      </w:pPr>
      <w:rPr>
        <w:rFonts w:ascii="Arial" w:hAnsi="Arial" w:hint="default"/>
      </w:rPr>
    </w:lvl>
    <w:lvl w:ilvl="7" w:tplc="742AE7BE" w:tentative="1">
      <w:start w:val="1"/>
      <w:numFmt w:val="bullet"/>
      <w:lvlText w:val="•"/>
      <w:lvlJc w:val="left"/>
      <w:pPr>
        <w:tabs>
          <w:tab w:val="num" w:pos="7176"/>
        </w:tabs>
        <w:ind w:left="7176" w:hanging="360"/>
      </w:pPr>
      <w:rPr>
        <w:rFonts w:ascii="Arial" w:hAnsi="Arial" w:hint="default"/>
      </w:rPr>
    </w:lvl>
    <w:lvl w:ilvl="8" w:tplc="28827310" w:tentative="1">
      <w:start w:val="1"/>
      <w:numFmt w:val="bullet"/>
      <w:lvlText w:val="•"/>
      <w:lvlJc w:val="left"/>
      <w:pPr>
        <w:tabs>
          <w:tab w:val="num" w:pos="7896"/>
        </w:tabs>
        <w:ind w:left="7896" w:hanging="360"/>
      </w:pPr>
      <w:rPr>
        <w:rFonts w:ascii="Arial" w:hAnsi="Arial" w:hint="default"/>
      </w:rPr>
    </w:lvl>
  </w:abstractNum>
  <w:abstractNum w:abstractNumId="10">
    <w:nsid w:val="3414238A"/>
    <w:multiLevelType w:val="hybridMultilevel"/>
    <w:tmpl w:val="2792797E"/>
    <w:lvl w:ilvl="0" w:tplc="559CC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82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8F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0A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8B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CC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4E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4C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8B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E323B00"/>
    <w:multiLevelType w:val="hybridMultilevel"/>
    <w:tmpl w:val="69E4B9F6"/>
    <w:lvl w:ilvl="0" w:tplc="8E7EE0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40F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AE72E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4CE0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44E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2B3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AB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E06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E19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E9F2AC7"/>
    <w:multiLevelType w:val="hybridMultilevel"/>
    <w:tmpl w:val="9A9E068C"/>
    <w:lvl w:ilvl="0" w:tplc="AD8C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AC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8F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0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CD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42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C2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C2D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6E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653121"/>
    <w:multiLevelType w:val="hybridMultilevel"/>
    <w:tmpl w:val="8F589DB2"/>
    <w:lvl w:ilvl="0" w:tplc="B470C6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06DD6"/>
    <w:multiLevelType w:val="hybridMultilevel"/>
    <w:tmpl w:val="E7DA5642"/>
    <w:lvl w:ilvl="0" w:tplc="9BB270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B5CFD"/>
    <w:multiLevelType w:val="hybridMultilevel"/>
    <w:tmpl w:val="38AA44E4"/>
    <w:lvl w:ilvl="0" w:tplc="9BB270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563F34"/>
    <w:multiLevelType w:val="hybridMultilevel"/>
    <w:tmpl w:val="DEB0C7DC"/>
    <w:lvl w:ilvl="0" w:tplc="E8D4C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47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5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25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04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C3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89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09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C9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0AB7710"/>
    <w:multiLevelType w:val="hybridMultilevel"/>
    <w:tmpl w:val="EE0CD20A"/>
    <w:lvl w:ilvl="0" w:tplc="74AA0B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598348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090173E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1B495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3446F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4C11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794E5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D1EF9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5FC8A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>
    <w:nsid w:val="50FD36AD"/>
    <w:multiLevelType w:val="hybridMultilevel"/>
    <w:tmpl w:val="547439F0"/>
    <w:lvl w:ilvl="0" w:tplc="B93473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D941D1"/>
    <w:multiLevelType w:val="hybridMultilevel"/>
    <w:tmpl w:val="4B5C5D82"/>
    <w:lvl w:ilvl="0" w:tplc="9BB270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5663CF"/>
    <w:multiLevelType w:val="hybridMultilevel"/>
    <w:tmpl w:val="8DAA13E6"/>
    <w:lvl w:ilvl="0" w:tplc="DB48F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C0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ED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6C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AB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A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23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81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60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55A3615"/>
    <w:multiLevelType w:val="hybridMultilevel"/>
    <w:tmpl w:val="035A09D8"/>
    <w:lvl w:ilvl="0" w:tplc="FE64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CE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6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CD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7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E4B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5C2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6A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288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858681E"/>
    <w:multiLevelType w:val="hybridMultilevel"/>
    <w:tmpl w:val="23FE1DE0"/>
    <w:lvl w:ilvl="0" w:tplc="77EE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A4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2B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A5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E9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A7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EB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87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0D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86E388B"/>
    <w:multiLevelType w:val="hybridMultilevel"/>
    <w:tmpl w:val="E6306854"/>
    <w:lvl w:ilvl="0" w:tplc="FED85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1EB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8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D8C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E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8E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85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E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C7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3FE621E"/>
    <w:multiLevelType w:val="hybridMultilevel"/>
    <w:tmpl w:val="C1E28FDE"/>
    <w:lvl w:ilvl="0" w:tplc="DE74C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E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40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22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07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8F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4D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6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BB72167"/>
    <w:multiLevelType w:val="hybridMultilevel"/>
    <w:tmpl w:val="5218EF46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0738F"/>
    <w:multiLevelType w:val="hybridMultilevel"/>
    <w:tmpl w:val="28E43CFE"/>
    <w:lvl w:ilvl="0" w:tplc="2BDCE6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66F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86F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C0C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E80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0898C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618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75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660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31F37DA"/>
    <w:multiLevelType w:val="hybridMultilevel"/>
    <w:tmpl w:val="E760ED86"/>
    <w:lvl w:ilvl="0" w:tplc="9BB270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36145"/>
    <w:multiLevelType w:val="hybridMultilevel"/>
    <w:tmpl w:val="B142C0DE"/>
    <w:lvl w:ilvl="0" w:tplc="A94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0B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E2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A2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E1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1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ED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28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2E1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8"/>
  </w:num>
  <w:num w:numId="5">
    <w:abstractNumId w:val="1"/>
  </w:num>
  <w:num w:numId="6">
    <w:abstractNumId w:val="3"/>
  </w:num>
  <w:num w:numId="7">
    <w:abstractNumId w:val="21"/>
  </w:num>
  <w:num w:numId="8">
    <w:abstractNumId w:val="2"/>
  </w:num>
  <w:num w:numId="9">
    <w:abstractNumId w:val="23"/>
  </w:num>
  <w:num w:numId="10">
    <w:abstractNumId w:val="11"/>
  </w:num>
  <w:num w:numId="11">
    <w:abstractNumId w:val="26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12"/>
  </w:num>
  <w:num w:numId="17">
    <w:abstractNumId w:val="7"/>
  </w:num>
  <w:num w:numId="18">
    <w:abstractNumId w:val="24"/>
  </w:num>
  <w:num w:numId="19">
    <w:abstractNumId w:val="22"/>
  </w:num>
  <w:num w:numId="20">
    <w:abstractNumId w:val="20"/>
  </w:num>
  <w:num w:numId="21">
    <w:abstractNumId w:val="16"/>
  </w:num>
  <w:num w:numId="22">
    <w:abstractNumId w:val="27"/>
  </w:num>
  <w:num w:numId="23">
    <w:abstractNumId w:val="15"/>
  </w:num>
  <w:num w:numId="24">
    <w:abstractNumId w:val="19"/>
  </w:num>
  <w:num w:numId="25">
    <w:abstractNumId w:val="6"/>
  </w:num>
  <w:num w:numId="26">
    <w:abstractNumId w:val="14"/>
  </w:num>
  <w:num w:numId="27">
    <w:abstractNumId w:val="8"/>
  </w:num>
  <w:num w:numId="28">
    <w:abstractNumId w:val="5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6B3"/>
    <w:rsid w:val="000001C9"/>
    <w:rsid w:val="00086959"/>
    <w:rsid w:val="000B76B3"/>
    <w:rsid w:val="00454CD0"/>
    <w:rsid w:val="007E656A"/>
    <w:rsid w:val="009A5601"/>
    <w:rsid w:val="009F5980"/>
    <w:rsid w:val="00B97436"/>
    <w:rsid w:val="00FE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1C9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B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B76B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B76B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45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3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5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6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7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0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7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5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5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6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0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4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3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7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8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9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0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3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20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3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2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7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5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7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4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8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6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0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4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0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5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40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9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dis.jrc.ec.europa.eu/LogIn/tabid/222/language/en-US/Default.aspx?returnurl=/" TargetMode="External"/><Relationship Id="rId13" Type="http://schemas.openxmlformats.org/officeDocument/2006/relationships/hyperlink" Target="http://ec.europa.eu/food/animal/diseases/adns/index_en.htm" TargetMode="External"/><Relationship Id="rId18" Type="http://schemas.openxmlformats.org/officeDocument/2006/relationships/hyperlink" Target="http://ec.europa.eu/food/plant/europhyt/index_en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hedis.jrc.ec.europa.eu/LogIn/tabid/222/language/en-US/Default.aspx?returnurl=/" TargetMode="External"/><Relationship Id="rId12" Type="http://schemas.openxmlformats.org/officeDocument/2006/relationships/hyperlink" Target="http://ec.europa.eu/food/animal/diseases/traces/index_en.htm" TargetMode="External"/><Relationship Id="rId17" Type="http://schemas.openxmlformats.org/officeDocument/2006/relationships/hyperlink" Target="http://ec.europa.eu/food/plant/europhyt/index_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food/plant/europhyt/index_en.htm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ewrs.ecdc.europa.eu/" TargetMode="External"/><Relationship Id="rId11" Type="http://schemas.openxmlformats.org/officeDocument/2006/relationships/hyperlink" Target="http://ec.europa.eu/food/animal/diseases/traces/index_en.htm" TargetMode="External"/><Relationship Id="rId5" Type="http://schemas.openxmlformats.org/officeDocument/2006/relationships/hyperlink" Target="https://en.wikipedia.org/wiki/2011_Germany_E._coli_O104:H4_outbreak" TargetMode="External"/><Relationship Id="rId15" Type="http://schemas.openxmlformats.org/officeDocument/2006/relationships/hyperlink" Target="http://www.who.int/zoonoses/outbreaks/glews/en/" TargetMode="External"/><Relationship Id="rId10" Type="http://schemas.openxmlformats.org/officeDocument/2006/relationships/hyperlink" Target="http://ec.europa.eu/food/animal/diseases/traces/index_en.htm" TargetMode="Externa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hedis.jrc.ec.europa.eu/LogIn/tabid/222/language/en-US/Default.aspx?returnurl=/" TargetMode="External"/><Relationship Id="rId14" Type="http://schemas.openxmlformats.org/officeDocument/2006/relationships/hyperlink" Target="http://www.who.int/zoonoses/outbreaks/glews/en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munkalap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plotArea>
      <c:layout>
        <c:manualLayout>
          <c:layoutTarget val="inner"/>
          <c:xMode val="edge"/>
          <c:yMode val="edge"/>
          <c:x val="9.9075289199961225E-2"/>
          <c:y val="0.11315716452010605"/>
          <c:w val="0.85013295909573527"/>
          <c:h val="0.77234202553617626"/>
        </c:manualLayout>
      </c:layout>
      <c:barChart>
        <c:barDir val="col"/>
        <c:grouping val="stacked"/>
        <c:ser>
          <c:idx val="0"/>
          <c:order val="0"/>
          <c:tx>
            <c:strRef>
              <c:f>Munka1!$B$1</c:f>
              <c:strCache>
                <c:ptCount val="1"/>
                <c:pt idx="0">
                  <c:v>Riasztás</c:v>
                </c:pt>
              </c:strCache>
            </c:strRef>
          </c:tx>
          <c:spPr>
            <a:solidFill>
              <a:srgbClr val="C00000"/>
            </a:solidFill>
          </c:spPr>
          <c:cat>
            <c:numRef>
              <c:f>Munka1!$A$2:$A$17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Munka1!$B$2:$B$17</c:f>
              <c:numCache>
                <c:formatCode>General</c:formatCode>
                <c:ptCount val="16"/>
                <c:pt idx="0">
                  <c:v>133</c:v>
                </c:pt>
                <c:pt idx="1">
                  <c:v>302</c:v>
                </c:pt>
                <c:pt idx="2">
                  <c:v>434</c:v>
                </c:pt>
                <c:pt idx="3">
                  <c:v>452</c:v>
                </c:pt>
                <c:pt idx="4">
                  <c:v>690</c:v>
                </c:pt>
                <c:pt idx="5">
                  <c:v>955</c:v>
                </c:pt>
                <c:pt idx="6">
                  <c:v>909</c:v>
                </c:pt>
                <c:pt idx="7">
                  <c:v>951</c:v>
                </c:pt>
                <c:pt idx="8">
                  <c:v>528</c:v>
                </c:pt>
                <c:pt idx="9">
                  <c:v>557</c:v>
                </c:pt>
                <c:pt idx="10">
                  <c:v>576</c:v>
                </c:pt>
                <c:pt idx="11">
                  <c:v>617</c:v>
                </c:pt>
                <c:pt idx="12">
                  <c:v>523</c:v>
                </c:pt>
                <c:pt idx="13">
                  <c:v>585</c:v>
                </c:pt>
                <c:pt idx="14">
                  <c:v>751</c:v>
                </c:pt>
                <c:pt idx="15">
                  <c:v>775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Tájékoztatás</c:v>
                </c:pt>
              </c:strCache>
            </c:strRef>
          </c:tx>
          <c:spPr>
            <a:solidFill>
              <a:srgbClr val="FFC000"/>
            </a:solidFill>
          </c:spPr>
          <c:cat>
            <c:numRef>
              <c:f>Munka1!$A$2:$A$17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Munka1!$C$2:$C$17</c:f>
              <c:numCache>
                <c:formatCode>General</c:formatCode>
                <c:ptCount val="16"/>
                <c:pt idx="0">
                  <c:v>341</c:v>
                </c:pt>
                <c:pt idx="1">
                  <c:v>405</c:v>
                </c:pt>
                <c:pt idx="2">
                  <c:v>1090</c:v>
                </c:pt>
                <c:pt idx="3">
                  <c:v>353</c:v>
                </c:pt>
                <c:pt idx="4">
                  <c:v>553</c:v>
                </c:pt>
                <c:pt idx="5">
                  <c:v>747</c:v>
                </c:pt>
                <c:pt idx="6">
                  <c:v>687</c:v>
                </c:pt>
                <c:pt idx="7">
                  <c:v>761</c:v>
                </c:pt>
                <c:pt idx="8">
                  <c:v>1136</c:v>
                </c:pt>
                <c:pt idx="9">
                  <c:v>1179</c:v>
                </c:pt>
                <c:pt idx="10">
                  <c:v>1167</c:v>
                </c:pt>
                <c:pt idx="11">
                  <c:v>1269</c:v>
                </c:pt>
                <c:pt idx="12">
                  <c:v>1186</c:v>
                </c:pt>
                <c:pt idx="13">
                  <c:v>1112</c:v>
                </c:pt>
                <c:pt idx="14">
                  <c:v>1033</c:v>
                </c:pt>
                <c:pt idx="15">
                  <c:v>887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Határ-visszautasítás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Munka1!$A$2:$A$17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Munka1!$D$2:$D$17</c:f>
              <c:numCache>
                <c:formatCode>General</c:formatCode>
                <c:ptCount val="16"/>
                <c:pt idx="3">
                  <c:v>1501</c:v>
                </c:pt>
                <c:pt idx="4">
                  <c:v>1338</c:v>
                </c:pt>
                <c:pt idx="5">
                  <c:v>1452</c:v>
                </c:pt>
                <c:pt idx="6">
                  <c:v>1273</c:v>
                </c:pt>
                <c:pt idx="7">
                  <c:v>1211</c:v>
                </c:pt>
                <c:pt idx="8">
                  <c:v>1376</c:v>
                </c:pt>
                <c:pt idx="9">
                  <c:v>1441</c:v>
                </c:pt>
                <c:pt idx="10">
                  <c:v>1544</c:v>
                </c:pt>
                <c:pt idx="11">
                  <c:v>1824</c:v>
                </c:pt>
                <c:pt idx="12">
                  <c:v>1712</c:v>
                </c:pt>
                <c:pt idx="13">
                  <c:v>1443</c:v>
                </c:pt>
                <c:pt idx="14">
                  <c:v>1373</c:v>
                </c:pt>
                <c:pt idx="15">
                  <c:v>1387</c:v>
                </c:pt>
              </c:numCache>
            </c:numRef>
          </c:val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Utánkövető jelentés</c:v>
                </c:pt>
              </c:strCache>
            </c:strRef>
          </c:tx>
          <c:spPr>
            <a:solidFill>
              <a:srgbClr val="7030A0"/>
            </a:solidFill>
          </c:spPr>
          <c:cat>
            <c:numRef>
              <c:f>Munka1!$A$2:$A$17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Munka1!$E$2:$E$17</c:f>
              <c:numCache>
                <c:formatCode>General</c:formatCode>
                <c:ptCount val="16"/>
                <c:pt idx="0">
                  <c:v>351</c:v>
                </c:pt>
                <c:pt idx="1">
                  <c:v>859</c:v>
                </c:pt>
                <c:pt idx="2">
                  <c:v>1498</c:v>
                </c:pt>
                <c:pt idx="3">
                  <c:v>1976</c:v>
                </c:pt>
                <c:pt idx="4">
                  <c:v>2778</c:v>
                </c:pt>
                <c:pt idx="5">
                  <c:v>3752</c:v>
                </c:pt>
                <c:pt idx="6">
                  <c:v>3720</c:v>
                </c:pt>
                <c:pt idx="7">
                  <c:v>4214</c:v>
                </c:pt>
                <c:pt idx="8">
                  <c:v>3861</c:v>
                </c:pt>
                <c:pt idx="9">
                  <c:v>4507</c:v>
                </c:pt>
                <c:pt idx="10">
                  <c:v>5018</c:v>
                </c:pt>
                <c:pt idx="11">
                  <c:v>5122</c:v>
                </c:pt>
                <c:pt idx="12">
                  <c:v>5281</c:v>
                </c:pt>
                <c:pt idx="13">
                  <c:v>5095</c:v>
                </c:pt>
                <c:pt idx="14">
                  <c:v>5910</c:v>
                </c:pt>
                <c:pt idx="15">
                  <c:v>6204</c:v>
                </c:pt>
              </c:numCache>
            </c:numRef>
          </c:val>
        </c:ser>
        <c:ser>
          <c:idx val="4"/>
          <c:order val="4"/>
          <c:tx>
            <c:strRef>
              <c:f>Munka1!$F$1</c:f>
              <c:strCache>
                <c:ptCount val="1"/>
                <c:pt idx="0">
                  <c:v>Hír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Munka1!$A$2:$A$17</c:f>
              <c:numCache>
                <c:formatCode>General</c:formatCod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numCache>
            </c:numRef>
          </c:cat>
          <c:val>
            <c:numRef>
              <c:f>Munka1!$F$2:$F$17</c:f>
              <c:numCache>
                <c:formatCode>General</c:formatCode>
                <c:ptCount val="16"/>
                <c:pt idx="3">
                  <c:v>98</c:v>
                </c:pt>
                <c:pt idx="4">
                  <c:v>89</c:v>
                </c:pt>
                <c:pt idx="5">
                  <c:v>86</c:v>
                </c:pt>
                <c:pt idx="6">
                  <c:v>72</c:v>
                </c:pt>
                <c:pt idx="7">
                  <c:v>43</c:v>
                </c:pt>
                <c:pt idx="8">
                  <c:v>123</c:v>
                </c:pt>
                <c:pt idx="9">
                  <c:v>64</c:v>
                </c:pt>
                <c:pt idx="10">
                  <c:v>62</c:v>
                </c:pt>
                <c:pt idx="11">
                  <c:v>20</c:v>
                </c:pt>
                <c:pt idx="12">
                  <c:v>19</c:v>
                </c:pt>
                <c:pt idx="13">
                  <c:v>38</c:v>
                </c:pt>
                <c:pt idx="14">
                  <c:v>41</c:v>
                </c:pt>
                <c:pt idx="15">
                  <c:v>41</c:v>
                </c:pt>
              </c:numCache>
            </c:numRef>
          </c:val>
        </c:ser>
        <c:overlap val="100"/>
        <c:axId val="96336512"/>
        <c:axId val="97522432"/>
      </c:barChart>
      <c:catAx>
        <c:axId val="96336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5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hu-HU"/>
                  <a:t>év</a:t>
                </a:r>
              </a:p>
            </c:rich>
          </c:tx>
          <c:layout>
            <c:manualLayout>
              <c:xMode val="edge"/>
              <c:yMode val="edge"/>
              <c:x val="0.95852756797245942"/>
              <c:y val="0.91232498129976558"/>
            </c:manualLayout>
          </c:layout>
        </c:title>
        <c:numFmt formatCode="General" sourceLinked="1"/>
        <c:tickLblPos val="nextTo"/>
        <c:spPr>
          <a:ln w="25383">
            <a:solidFill>
              <a:prstClr val="black"/>
            </a:solidFill>
          </a:ln>
        </c:spPr>
        <c:txPr>
          <a:bodyPr/>
          <a:lstStyle/>
          <a:p>
            <a:pPr>
              <a:defRPr sz="1000"/>
            </a:pPr>
            <a:endParaRPr lang="hu-HU"/>
          </a:p>
        </c:txPr>
        <c:crossAx val="97522432"/>
        <c:crosses val="autoZero"/>
        <c:auto val="1"/>
        <c:lblAlgn val="ctr"/>
        <c:lblOffset val="100"/>
      </c:catAx>
      <c:valAx>
        <c:axId val="97522432"/>
        <c:scaling>
          <c:orientation val="minMax"/>
          <c:max val="9500"/>
          <c:min val="0"/>
        </c:scaling>
        <c:axPos val="l"/>
        <c:title>
          <c:tx>
            <c:rich>
              <a:bodyPr rot="0" vert="horz"/>
              <a:lstStyle/>
              <a:p>
                <a:pPr algn="ctr">
                  <a:defRPr sz="10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hu-HU" sz="10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Bejelentések száma (db)</a:t>
                </a:r>
              </a:p>
            </c:rich>
          </c:tx>
          <c:layout>
            <c:manualLayout>
              <c:xMode val="edge"/>
              <c:yMode val="edge"/>
              <c:x val="3.999777805552085E-2"/>
              <c:y val="2.0033756569699883E-3"/>
            </c:manualLayout>
          </c:layout>
        </c:title>
        <c:numFmt formatCode="#,##0" sourceLinked="0"/>
        <c:tickLblPos val="nextTo"/>
        <c:spPr>
          <a:ln w="25383">
            <a:solidFill>
              <a:schemeClr val="tx1"/>
            </a:solidFill>
          </a:ln>
        </c:spPr>
        <c:txPr>
          <a:bodyPr/>
          <a:lstStyle/>
          <a:p>
            <a:pPr>
              <a:defRPr sz="1000"/>
            </a:pPr>
            <a:endParaRPr lang="hu-HU"/>
          </a:p>
        </c:txPr>
        <c:crossAx val="96336512"/>
        <c:crosses val="autoZero"/>
        <c:crossBetween val="between"/>
        <c:majorUnit val="1000"/>
      </c:valAx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10437219157129179"/>
          <c:y val="9.9397862555600278E-2"/>
          <c:w val="0.31928625569595676"/>
          <c:h val="0.31257906446595135"/>
        </c:manualLayout>
      </c:layout>
      <c:txPr>
        <a:bodyPr/>
        <a:lstStyle/>
        <a:p>
          <a:pPr>
            <a:defRPr sz="1000"/>
          </a:pPr>
          <a:endParaRPr lang="hu-HU"/>
        </a:p>
      </c:txPr>
    </c:legend>
    <c:plotVisOnly val="1"/>
    <c:dispBlanksAs val="gap"/>
  </c:chart>
  <c:txPr>
    <a:bodyPr/>
    <a:lstStyle/>
    <a:p>
      <a:pPr>
        <a:defRPr sz="1599" b="1">
          <a:latin typeface="Arial" pitchFamily="34" charset="0"/>
          <a:cs typeface="Arial" pitchFamily="34" charset="0"/>
        </a:defRPr>
      </a:pPr>
      <a:endParaRPr lang="hu-HU"/>
    </a:p>
  </c:tx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1013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ktothm</dc:creator>
  <cp:lastModifiedBy>ktothm</cp:lastModifiedBy>
  <cp:revision>4</cp:revision>
  <dcterms:created xsi:type="dcterms:W3CDTF">2016-03-17T12:03:00Z</dcterms:created>
  <dcterms:modified xsi:type="dcterms:W3CDTF">2016-03-17T13:56:00Z</dcterms:modified>
</cp:coreProperties>
</file>