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5E" w:rsidRPr="00EF562A" w:rsidRDefault="00074B5E" w:rsidP="00C53D18">
      <w:pPr>
        <w:spacing w:before="480"/>
        <w:jc w:val="center"/>
        <w:rPr>
          <w:rFonts w:ascii="Times New Roman" w:hAnsi="Times New Roman"/>
          <w:b/>
          <w:sz w:val="32"/>
          <w:szCs w:val="28"/>
        </w:rPr>
      </w:pPr>
      <w:r w:rsidRPr="00EF562A">
        <w:rPr>
          <w:rFonts w:ascii="Times New Roman" w:hAnsi="Times New Roman"/>
          <w:b/>
          <w:sz w:val="32"/>
          <w:szCs w:val="28"/>
        </w:rPr>
        <w:t>Afrikai sertéspestist mutatott ki a N</w:t>
      </w:r>
      <w:r w:rsidR="00C53D18" w:rsidRPr="00EF562A">
        <w:rPr>
          <w:rFonts w:ascii="Times New Roman" w:hAnsi="Times New Roman"/>
          <w:b/>
          <w:sz w:val="32"/>
          <w:szCs w:val="28"/>
        </w:rPr>
        <w:t xml:space="preserve">ébih </w:t>
      </w:r>
      <w:r w:rsidRPr="00EF562A">
        <w:rPr>
          <w:rFonts w:ascii="Times New Roman" w:hAnsi="Times New Roman"/>
          <w:b/>
          <w:sz w:val="32"/>
          <w:szCs w:val="28"/>
        </w:rPr>
        <w:t>egy, az ukrán határon elkobzott sertéshús mintában</w:t>
      </w:r>
      <w:bookmarkStart w:id="0" w:name="_GoBack"/>
      <w:bookmarkEnd w:id="0"/>
    </w:p>
    <w:p w:rsidR="00074B5E" w:rsidRPr="001D5BC4" w:rsidRDefault="00C53D18" w:rsidP="00074B5E">
      <w:pPr>
        <w:jc w:val="both"/>
        <w:rPr>
          <w:rFonts w:ascii="Times New Roman" w:hAnsi="Times New Roman"/>
          <w:b/>
        </w:rPr>
      </w:pPr>
      <w:r w:rsidRPr="00C53D18">
        <w:rPr>
          <w:rFonts w:ascii="Times New Roman" w:hAnsi="Times New Roman"/>
          <w:b/>
        </w:rPr>
        <w:t>Afrikai sertéspestis (ASP) vírusát mutatta ki a Nemzeti Élelmiszerlánc-biztonsági Hivatal (Nébih) egy Ukrajnából származó, a záhonyi határállomáson elkobzott sertéshús mintában. A súlyos gazdasági kárral járó betegség terjedésében jelentős szerepe van a felelőtlen emberi magatartásnak, mivel a fertőzött állatok húsának illegális szállításával rövid idő alatt nagy távolságokra eljuthat a vírus. A N</w:t>
      </w:r>
      <w:r>
        <w:rPr>
          <w:rFonts w:ascii="Times New Roman" w:hAnsi="Times New Roman"/>
          <w:b/>
        </w:rPr>
        <w:t xml:space="preserve">ébih </w:t>
      </w:r>
      <w:r w:rsidRPr="00C53D18">
        <w:rPr>
          <w:rFonts w:ascii="Times New Roman" w:hAnsi="Times New Roman"/>
          <w:b/>
        </w:rPr>
        <w:t>újfent felhívja a figyelmet a hús és húskészítmények Ukrajnából történő behozatalának tilalmára, illetve a sertéstartó telepeken a járványvédelmi intézkedések, különösen az élelmiszerhulladék (moslék) etetésére vonatkozó tilalom betartására.</w:t>
      </w:r>
    </w:p>
    <w:p w:rsidR="00C53D18" w:rsidRPr="00C53D18" w:rsidRDefault="00C53D18" w:rsidP="00C53D18">
      <w:pPr>
        <w:jc w:val="both"/>
        <w:rPr>
          <w:rFonts w:ascii="Times New Roman" w:hAnsi="Times New Roman"/>
        </w:rPr>
      </w:pPr>
      <w:r w:rsidRPr="00C53D18">
        <w:rPr>
          <w:rFonts w:ascii="Times New Roman" w:hAnsi="Times New Roman"/>
        </w:rPr>
        <w:t xml:space="preserve">Afrikai sertéspestis vírusát mutatta ki a Nébih egy Ukrajnából származó, a záhonyi határállomáson elkobzott sertéshús mintában. A betegség vírusa igen ellenálló, húsban, nem </w:t>
      </w:r>
      <w:proofErr w:type="spellStart"/>
      <w:r w:rsidRPr="00C53D18">
        <w:rPr>
          <w:rFonts w:ascii="Times New Roman" w:hAnsi="Times New Roman"/>
        </w:rPr>
        <w:t>hőkezelt</w:t>
      </w:r>
      <w:proofErr w:type="spellEnd"/>
      <w:r w:rsidRPr="00C53D18">
        <w:rPr>
          <w:rFonts w:ascii="Times New Roman" w:hAnsi="Times New Roman"/>
        </w:rPr>
        <w:t xml:space="preserve"> húskészítményben hónapokig, fagyasztott húsban akár évekig fertőzőképes. Emiatt a fertőzött állatokból nyert és illegálisan Magyarországra behozott termékek jelentős kockázatot jelentenek az ASP hazai megjelenése szempontjából. Ukrajnából (mint minden az Európai Unión kívüli, ún. </w:t>
      </w:r>
      <w:proofErr w:type="gramStart"/>
      <w:r w:rsidRPr="00C53D18">
        <w:rPr>
          <w:rFonts w:ascii="Times New Roman" w:hAnsi="Times New Roman"/>
        </w:rPr>
        <w:t>harmadik</w:t>
      </w:r>
      <w:proofErr w:type="gramEnd"/>
      <w:r w:rsidRPr="00C53D18">
        <w:rPr>
          <w:rFonts w:ascii="Times New Roman" w:hAnsi="Times New Roman"/>
        </w:rPr>
        <w:t xml:space="preserve"> országból) húst és húskészítményt behozni még személyes fogyasztásra is tilos! A hatóságok mégis rendszeresen találnak ilyen termékeket a poggyászellenőrzés során. 2017-ben eddig 7040 kg, személyes poggyászból származó élelmiszert koboztak el a szakemberek.</w:t>
      </w:r>
    </w:p>
    <w:p w:rsidR="00C53D18" w:rsidRPr="00C53D18" w:rsidRDefault="00C53D18" w:rsidP="00C53D18">
      <w:pPr>
        <w:jc w:val="both"/>
        <w:rPr>
          <w:rFonts w:ascii="Times New Roman" w:hAnsi="Times New Roman"/>
        </w:rPr>
      </w:pPr>
      <w:r w:rsidRPr="00C53D18">
        <w:rPr>
          <w:rFonts w:ascii="Times New Roman" w:hAnsi="Times New Roman"/>
        </w:rPr>
        <w:t xml:space="preserve">Az ASP a házi sertés és a vaddisznó vírusos betegsége. Az Európai Unió területén először 2014-ben, Litvániában mutatták ki. Kárpátalján, a magyar határ közelében 2016 decemberében jelentették első alkalommal az ukrán hatóságok a betegség előfordulását. 2017 </w:t>
      </w:r>
      <w:proofErr w:type="gramStart"/>
      <w:r w:rsidRPr="00C53D18">
        <w:rPr>
          <w:rFonts w:ascii="Times New Roman" w:hAnsi="Times New Roman"/>
        </w:rPr>
        <w:t>júniusában</w:t>
      </w:r>
      <w:proofErr w:type="gramEnd"/>
      <w:r w:rsidRPr="00C53D18">
        <w:rPr>
          <w:rFonts w:ascii="Times New Roman" w:hAnsi="Times New Roman"/>
        </w:rPr>
        <w:t xml:space="preserve"> Csehországban vaddisznókban, júliusban pedig Romániában, Szatmárnémetiben egy háztáji gazdaságban állapították meg a betegséget.</w:t>
      </w:r>
    </w:p>
    <w:p w:rsidR="00C53D18" w:rsidRPr="00C53D18" w:rsidRDefault="00C53D18" w:rsidP="00C53D18">
      <w:pPr>
        <w:jc w:val="both"/>
        <w:rPr>
          <w:rFonts w:ascii="Times New Roman" w:hAnsi="Times New Roman"/>
        </w:rPr>
      </w:pPr>
      <w:r w:rsidRPr="00C53D18">
        <w:rPr>
          <w:rFonts w:ascii="Times New Roman" w:hAnsi="Times New Roman"/>
        </w:rPr>
        <w:t xml:space="preserve">Az ASP egyrészt a fertőzött vaddisznóállományok érintkezésével terjed, másrészt a felelőtlen emberi magatartással, például a fertőzött állatokból származó hús és húskészítmények illegális forgalmával. Míg a vaddisznóállományokban a természetes terjedés évi 20-50 km, addig az emberi tevékenység révén rövid idő alatt igen nagy távolságokra eljuthat a vírus. Ez történt Csehország esetében is, ahol Európa korábban fertőzött területeitől több száz kilométerre jelent meg a betegség. </w:t>
      </w:r>
    </w:p>
    <w:p w:rsidR="00C53D18" w:rsidRPr="00C53D18" w:rsidRDefault="00C53D18" w:rsidP="00C53D18">
      <w:pPr>
        <w:jc w:val="both"/>
        <w:rPr>
          <w:rFonts w:ascii="Times New Roman" w:hAnsi="Times New Roman"/>
        </w:rPr>
      </w:pPr>
      <w:r w:rsidRPr="00C53D18">
        <w:rPr>
          <w:rFonts w:ascii="Times New Roman" w:hAnsi="Times New Roman"/>
        </w:rPr>
        <w:t xml:space="preserve">A vaddisznók és a házi sertések a fertőzött állatokból származó élelmiszerhulladékokkal is fertőződhetnek, éppen ezért az élelmiszerhulladék (moslék) etetését jogszabály tiltja. A tilalom betartása a sertésállományok védelmének és az ASP megelőzésének egyik legfontosabb eleme. </w:t>
      </w:r>
    </w:p>
    <w:p w:rsidR="00C53D18" w:rsidRPr="00C53D18" w:rsidRDefault="00C53D18" w:rsidP="00C53D18">
      <w:pPr>
        <w:jc w:val="both"/>
        <w:rPr>
          <w:rFonts w:ascii="Times New Roman" w:hAnsi="Times New Roman"/>
        </w:rPr>
      </w:pPr>
      <w:r w:rsidRPr="00C53D18">
        <w:rPr>
          <w:rFonts w:ascii="Times New Roman" w:hAnsi="Times New Roman"/>
        </w:rPr>
        <w:t>Az, hogy sikerül-e megakadályozni a betegség behurcolását Magyarországra, nagyban függ az állattartói, sőt a fogyasztói jogszabálykövető magatartástól is. Nemcsak a fertőzött területeken, hanem – a járványügyi kockázatra tekintettel – hazánkban is kiemelten fontos az állattartók részéről az állategészségügyi jogszabályok betartása. Így például a körültekintő sertésvásárlás, az állattartó telepeken a járványvédelmi megelőző intézkedések alkalmazása, vagy a mosléketetés tilalmának betartása. A fertőzött területekről hazánkba érkező utazók a hús és húskészítmény behozatal tilalmának betartásával járulhatnak hozzá az ASP megelőzéséhez.</w:t>
      </w:r>
    </w:p>
    <w:p w:rsidR="0092386C" w:rsidRDefault="00C53D18" w:rsidP="00C53D18">
      <w:pPr>
        <w:spacing w:after="0" w:line="280" w:lineRule="atLeast"/>
        <w:jc w:val="both"/>
        <w:rPr>
          <w:rFonts w:ascii="Times Roman" w:hAnsi="Times Roman"/>
          <w:iCs/>
        </w:rPr>
      </w:pPr>
      <w:r w:rsidRPr="00C53D18">
        <w:rPr>
          <w:rFonts w:ascii="Times New Roman" w:hAnsi="Times New Roman"/>
        </w:rPr>
        <w:t xml:space="preserve">Bognár Lajos országos főállatorvos ezúton és ismételten kéri az állattartók és az érintettek együttműködését a betegség behurcolásának megakadályozása érdekében. A betegséggel kapcsolatosan számos további hasznos információ olvasható </w:t>
      </w:r>
      <w:hyperlink r:id="rId8" w:history="1">
        <w:r w:rsidR="00074B5E" w:rsidRPr="00784D32">
          <w:rPr>
            <w:rStyle w:val="Hiperhivatkozs"/>
            <w:rFonts w:ascii="Times New Roman" w:hAnsi="Times New Roman"/>
          </w:rPr>
          <w:t>a hivatal weboldalán</w:t>
        </w:r>
      </w:hyperlink>
      <w:r w:rsidR="00074B5E">
        <w:rPr>
          <w:rFonts w:ascii="Times New Roman" w:hAnsi="Times New Roman"/>
        </w:rPr>
        <w:t>.</w:t>
      </w:r>
      <w:r w:rsidR="0092386C">
        <w:rPr>
          <w:rFonts w:ascii="Times Roman" w:hAnsi="Times Roman"/>
          <w:iCs/>
        </w:rPr>
        <w:t xml:space="preserve"> </w:t>
      </w:r>
    </w:p>
    <w:p w:rsidR="0092386C" w:rsidRDefault="0092386C" w:rsidP="0092386C">
      <w:pPr>
        <w:spacing w:after="0" w:line="280" w:lineRule="atLeast"/>
        <w:jc w:val="both"/>
        <w:rPr>
          <w:rFonts w:ascii="Times Roman" w:hAnsi="Times Roman"/>
          <w:iCs/>
        </w:rPr>
      </w:pPr>
    </w:p>
    <w:p w:rsidR="006401C9" w:rsidRPr="00787D06" w:rsidRDefault="00CD4AE2" w:rsidP="00EF562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</w:t>
      </w:r>
      <w:r w:rsidR="00074B5E">
        <w:rPr>
          <w:rFonts w:ascii="Times New Roman" w:hAnsi="Times New Roman"/>
          <w:sz w:val="24"/>
        </w:rPr>
        <w:t>december 6</w:t>
      </w:r>
      <w:r w:rsidR="0092386C">
        <w:rPr>
          <w:rFonts w:ascii="Times New Roman" w:hAnsi="Times New Roman"/>
          <w:sz w:val="24"/>
        </w:rPr>
        <w:t>.</w:t>
      </w:r>
    </w:p>
    <w:p w:rsidR="00945830" w:rsidRPr="006401C9" w:rsidRDefault="006401C9" w:rsidP="0092386C">
      <w:pPr>
        <w:spacing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C53D18">
      <w:headerReference w:type="default" r:id="rId9"/>
      <w:headerReference w:type="first" r:id="rId10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C53D1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54.2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3E2FDE" w:rsidRPr="00A959E1" w:rsidRDefault="003E2FD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7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B5E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1522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97F63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53D18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62A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afrikai-sertespesti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BA31-30CF-4D0B-A71B-06AAF796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3644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6</cp:revision>
  <cp:lastPrinted>2017-08-09T13:36:00Z</cp:lastPrinted>
  <dcterms:created xsi:type="dcterms:W3CDTF">2017-12-06T07:07:00Z</dcterms:created>
  <dcterms:modified xsi:type="dcterms:W3CDTF">2017-12-06T07:55:00Z</dcterms:modified>
</cp:coreProperties>
</file>