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FC" w:rsidRPr="001F7FFC" w:rsidRDefault="001F7FFC" w:rsidP="00800ABD">
      <w:pPr>
        <w:spacing w:before="160" w:after="8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221/2008. (VIII. 30.) Korm. rendelet</w:t>
      </w:r>
    </w:p>
    <w:p w:rsidR="001F7FFC" w:rsidRPr="001F7FFC" w:rsidRDefault="001F7FFC" w:rsidP="00800ABD">
      <w:pPr>
        <w:spacing w:before="100" w:beforeAutospacing="1" w:after="320" w:line="240" w:lineRule="auto"/>
        <w:jc w:val="center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/>
          <w:lang w:eastAsia="hu-HU"/>
        </w:rPr>
        <w:t>a</w:t>
      </w:r>
      <w:proofErr w:type="gramEnd"/>
      <w:r w:rsidRPr="001F7FFC">
        <w:rPr>
          <w:rFonts w:eastAsia="Times New Roman"/>
          <w:b/>
          <w:lang w:eastAsia="hu-HU"/>
        </w:rPr>
        <w:t xml:space="preserve"> parlagfű elleni közérdekű védekezés végrehajtásának, valamint az állami, illetve a közérdekű védekezés költségei megállapításának és igénylésének részletes szabályairól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 xml:space="preserve">A Kormány az élelmiszerláncról és hatósági felügyeletéről szóló 2008. évi XLVI. törvény 76. § (1) bekezdés </w:t>
      </w:r>
      <w:r w:rsidRPr="001F7FFC">
        <w:rPr>
          <w:rFonts w:eastAsia="Times New Roman"/>
          <w:bCs w:val="0"/>
          <w:i/>
          <w:iCs/>
          <w:lang w:eastAsia="hu-HU"/>
        </w:rPr>
        <w:t>f)</w:t>
      </w:r>
      <w:r w:rsidRPr="001F7FFC">
        <w:rPr>
          <w:rFonts w:eastAsia="Times New Roman"/>
          <w:bCs w:val="0"/>
          <w:lang w:eastAsia="hu-HU"/>
        </w:rPr>
        <w:t xml:space="preserve"> és </w:t>
      </w:r>
      <w:r w:rsidRPr="001F7FFC">
        <w:rPr>
          <w:rFonts w:eastAsia="Times New Roman"/>
          <w:bCs w:val="0"/>
          <w:i/>
          <w:iCs/>
          <w:lang w:eastAsia="hu-HU"/>
        </w:rPr>
        <w:t>g)</w:t>
      </w:r>
      <w:r w:rsidRPr="001F7FFC">
        <w:rPr>
          <w:rFonts w:eastAsia="Times New Roman"/>
          <w:bCs w:val="0"/>
          <w:lang w:eastAsia="hu-HU"/>
        </w:rPr>
        <w:t xml:space="preserve"> pontjában, valamint az egyes jogszabályok és jogszabályi rendelkezések hatályon kívül helyezéséről szóló 2007. évi LXXXII. törvény 6. § (2) bekezdésében foglalt felhatalmazás alapján, az Alkotmány 35. § (1) bekezdés </w:t>
      </w:r>
      <w:r w:rsidRPr="001F7FFC">
        <w:rPr>
          <w:rFonts w:eastAsia="Times New Roman"/>
          <w:bCs w:val="0"/>
          <w:i/>
          <w:iCs/>
          <w:lang w:eastAsia="hu-HU"/>
        </w:rPr>
        <w:t>b)</w:t>
      </w:r>
      <w:r w:rsidRPr="001F7FFC">
        <w:rPr>
          <w:rFonts w:eastAsia="Times New Roman"/>
          <w:bCs w:val="0"/>
          <w:lang w:eastAsia="hu-HU"/>
        </w:rPr>
        <w:t xml:space="preserve"> pontjában foglalt feladatkörében eljárva a következőket rendeli:</w:t>
      </w:r>
    </w:p>
    <w:p w:rsidR="001F7FFC" w:rsidRPr="001F7FFC" w:rsidRDefault="001F7FFC" w:rsidP="00800ABD">
      <w:pPr>
        <w:spacing w:before="160" w:after="32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A parlagfű elleni közérdekű védekezés végrehajtásának szabályai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1. §</w:t>
      </w:r>
      <w:r w:rsidRPr="001F7FFC">
        <w:rPr>
          <w:rFonts w:eastAsia="Times New Roman"/>
          <w:bCs w:val="0"/>
          <w:lang w:eastAsia="hu-HU"/>
        </w:rPr>
        <w:t xml:space="preserve"> (1) Az élelmiszerláncról és hatósági felügyeletéről szóló 2008. évi XLVI. törvény (a továbbiakban: Tv.) 17. § (4) bekezdésében előírt parlagfű elleni védekezés elmulasztása esetén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Cs w:val="0"/>
          <w:i/>
          <w:iCs/>
          <w:lang w:eastAsia="hu-HU"/>
        </w:rPr>
        <w:t>a</w:t>
      </w:r>
      <w:proofErr w:type="gramEnd"/>
      <w:r w:rsidRPr="001F7FFC">
        <w:rPr>
          <w:rFonts w:eastAsia="Times New Roman"/>
          <w:bCs w:val="0"/>
          <w:i/>
          <w:iCs/>
          <w:lang w:eastAsia="hu-HU"/>
        </w:rPr>
        <w:t>)</w:t>
      </w:r>
      <w:bookmarkStart w:id="0" w:name="foot_1_place"/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i/>
          <w:iCs/>
          <w:vertAlign w:val="superscript"/>
          <w:lang w:eastAsia="hu-HU"/>
        </w:rPr>
        <w:instrText xml:space="preserve"> HYPERLINK "http://njt.hu/cgi_bin/njt_doc.cgi?docid=119570.349944" \l "foot1" </w:instrText>
      </w:r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i/>
          <w:iCs/>
          <w:color w:val="0000FF"/>
          <w:u w:val="single"/>
          <w:vertAlign w:val="superscript"/>
          <w:lang w:eastAsia="hu-HU"/>
        </w:rPr>
        <w:t>1</w:t>
      </w:r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end"/>
      </w:r>
      <w:bookmarkEnd w:id="0"/>
      <w:r w:rsidRPr="001F7FFC">
        <w:rPr>
          <w:rFonts w:eastAsia="Times New Roman"/>
          <w:bCs w:val="0"/>
          <w:lang w:eastAsia="hu-HU"/>
        </w:rPr>
        <w:t xml:space="preserve"> külterületen a terület fekvése szerint illetékes megyei kormányhivatal növény- és talajvédelmi feladatkörében eljáró megyeszékhely szerinti járási hivatala, Pest megye és Budapest területén a Pest Megyei Kormányhivatal Érdi Járási Hivatala (a továbbiakban: növény- és talajvédelmi hatóság)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b)</w:t>
      </w:r>
      <w:bookmarkStart w:id="1" w:name="foot_2_place"/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i/>
          <w:iCs/>
          <w:vertAlign w:val="superscript"/>
          <w:lang w:eastAsia="hu-HU"/>
        </w:rPr>
        <w:instrText xml:space="preserve"> HYPERLINK "http://njt.hu/cgi_bin/njt_doc.cgi?docid=119570.349944" \l "foot2" </w:instrText>
      </w:r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i/>
          <w:iCs/>
          <w:color w:val="0000FF"/>
          <w:u w:val="single"/>
          <w:vertAlign w:val="superscript"/>
          <w:lang w:eastAsia="hu-HU"/>
        </w:rPr>
        <w:t>2</w:t>
      </w:r>
      <w:r w:rsidR="00AC1C73" w:rsidRPr="001F7FFC">
        <w:rPr>
          <w:rFonts w:eastAsia="Times New Roman"/>
          <w:bCs w:val="0"/>
          <w:i/>
          <w:iCs/>
          <w:vertAlign w:val="superscript"/>
          <w:lang w:eastAsia="hu-HU"/>
        </w:rPr>
        <w:fldChar w:fldCharType="end"/>
      </w:r>
      <w:bookmarkEnd w:id="1"/>
      <w:r w:rsidRPr="001F7FFC">
        <w:rPr>
          <w:rFonts w:eastAsia="Times New Roman"/>
          <w:bCs w:val="0"/>
          <w:lang w:eastAsia="hu-HU"/>
        </w:rPr>
        <w:t xml:space="preserve"> belterületen – a (2) bekezdésben meghatározott kivétellel – a települési (fővárosban kerületi) önkormányzat jegyzője, a Fővárosi Önkormányzat által közvetlenül igazgatott terület tekintetében a fővárosi főjegyző (a továbbiakban: jegyző)</w:t>
      </w:r>
    </w:p>
    <w:p w:rsidR="001F7FFC" w:rsidRPr="001F7FFC" w:rsidRDefault="001F7FFC" w:rsidP="00800ABD">
      <w:pPr>
        <w:spacing w:before="100" w:beforeAutospacing="1" w:after="100" w:afterAutospacing="1" w:line="240" w:lineRule="auto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Cs w:val="0"/>
          <w:lang w:eastAsia="hu-HU"/>
        </w:rPr>
        <w:t>rendeli</w:t>
      </w:r>
      <w:proofErr w:type="gramEnd"/>
      <w:r w:rsidRPr="001F7FFC">
        <w:rPr>
          <w:rFonts w:eastAsia="Times New Roman"/>
          <w:bCs w:val="0"/>
          <w:lang w:eastAsia="hu-HU"/>
        </w:rPr>
        <w:t xml:space="preserve"> el a közérdekű védekezést.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(2)</w:t>
      </w:r>
      <w:bookmarkStart w:id="2" w:name="foot_3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"foot3"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3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"/>
      <w:r w:rsidRPr="001F7FFC">
        <w:rPr>
          <w:rFonts w:eastAsia="Times New Roman"/>
          <w:bCs w:val="0"/>
          <w:lang w:eastAsia="hu-HU"/>
        </w:rPr>
        <w:t xml:space="preserve"> Ha belterületi ingatlan esetében a települési (fővárosban kerületi, a Fővárosi Önkormányzat által közvetlenül igazgatott terület tekintetében a fővárosi) önkormányzat nem tesz eleget a Tv. 17. § (4) bekezdésében előírt parlagfű elleni védekezési kötelezettségének, a növény- és talajvédelmi hatóság rendeli el a közérdekű védekezést.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2. §</w:t>
      </w:r>
      <w:r w:rsidRPr="001F7FFC">
        <w:rPr>
          <w:rFonts w:eastAsia="Times New Roman"/>
          <w:bCs w:val="0"/>
          <w:lang w:eastAsia="hu-HU"/>
        </w:rPr>
        <w:t xml:space="preserve"> (1) A közérdekű védekezés elrendelésére jogosult hatóság a közérdekű védekezés elvégzésével általa minden év május 31. napjáig kiválasztott gazdálkodó szervezetet bízhat meg.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(2) A közérdekű védekezést célirányosan, költségtakarékosan, hatékonyan és a lehető legkisebb környezeti károsodással járó eljárással kell elvégezni.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(3)</w:t>
      </w:r>
      <w:bookmarkStart w:id="3" w:name="foot_4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"foot4"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4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3"/>
      <w:r w:rsidRPr="001F7FFC">
        <w:rPr>
          <w:rFonts w:eastAsia="Times New Roman"/>
          <w:bCs w:val="0"/>
          <w:lang w:eastAsia="hu-HU"/>
        </w:rPr>
        <w:t xml:space="preserve"> A közérdekű védekezés költségeként a növény- és talajvédelmi hatóságnál, illetve a jegyzőnél felmerült vállalkozói díj számolható el.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(4)</w:t>
      </w:r>
      <w:bookmarkStart w:id="4" w:name="foot_5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"foot5"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5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4"/>
      <w:r w:rsidRPr="001F7FFC">
        <w:rPr>
          <w:rFonts w:eastAsia="Times New Roman"/>
          <w:bCs w:val="0"/>
          <w:lang w:eastAsia="hu-HU"/>
        </w:rPr>
        <w:t xml:space="preserve"> E rendelet alkalmazásában gazdálkodó szervezeten a polgári perrendtartásról szóló törvényben meghatározott gazdálkodó szervezetet kell érteni.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3. §</w:t>
      </w:r>
      <w:r w:rsidRPr="001F7FFC">
        <w:rPr>
          <w:rFonts w:eastAsia="Times New Roman"/>
          <w:bCs w:val="0"/>
          <w:lang w:eastAsia="hu-HU"/>
        </w:rPr>
        <w:t xml:space="preserve"> (1)</w:t>
      </w:r>
      <w:bookmarkStart w:id="5" w:name="foot_6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"foot6"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6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5"/>
      <w:r w:rsidRPr="001F7FFC">
        <w:rPr>
          <w:rFonts w:eastAsia="Times New Roman"/>
          <w:bCs w:val="0"/>
          <w:lang w:eastAsia="hu-HU"/>
        </w:rPr>
        <w:t xml:space="preserve"> Helyszíni ellenőrzést – a Tv. 17. § (4) bekezdésében foglaltak betartásának ellenőrzése érdekében – saját kezdeményezésre vagy bejelentés </w:t>
      </w:r>
      <w:proofErr w:type="gramStart"/>
      <w:r w:rsidRPr="001F7FFC">
        <w:rPr>
          <w:rFonts w:eastAsia="Times New Roman"/>
          <w:bCs w:val="0"/>
          <w:lang w:eastAsia="hu-HU"/>
        </w:rPr>
        <w:t>alapján</w:t>
      </w:r>
      <w:proofErr w:type="gramEnd"/>
      <w:r w:rsidRPr="001F7FFC">
        <w:rPr>
          <w:rFonts w:eastAsia="Times New Roman"/>
          <w:bCs w:val="0"/>
          <w:lang w:eastAsia="hu-HU"/>
        </w:rPr>
        <w:t xml:space="preserve"> külterületen az ingatlanügyi hatóság, belterületen a jegyző végez. Az ingatlanügyi hatóság a helyszíni ellenőrzést saját kezdeményezésre a 4. §</w:t>
      </w:r>
      <w:proofErr w:type="spellStart"/>
      <w:r w:rsidRPr="001F7FFC">
        <w:rPr>
          <w:rFonts w:eastAsia="Times New Roman"/>
          <w:bCs w:val="0"/>
          <w:lang w:eastAsia="hu-HU"/>
        </w:rPr>
        <w:t>-ban</w:t>
      </w:r>
      <w:proofErr w:type="spellEnd"/>
      <w:r w:rsidRPr="001F7FFC">
        <w:rPr>
          <w:rFonts w:eastAsia="Times New Roman"/>
          <w:bCs w:val="0"/>
          <w:lang w:eastAsia="hu-HU"/>
        </w:rPr>
        <w:t xml:space="preserve"> meghatározott területeken folytatja le.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t>(2)</w:t>
      </w:r>
      <w:bookmarkStart w:id="6" w:name="foot_7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"foot7"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7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6"/>
      <w:r w:rsidRPr="001F7FFC">
        <w:rPr>
          <w:rFonts w:eastAsia="Times New Roman"/>
          <w:bCs w:val="0"/>
          <w:lang w:eastAsia="hu-HU"/>
        </w:rPr>
        <w:t xml:space="preserve"> A helyszíni ellenőrzés során – amennyiben bizonyítást nyer, hogy a földhasználó nem tett eleget a Tv. 17. § (4) bekezdésében foglalt kötelezettségének – külterületen a fertőzött területet főbb töréspontjainak koordinátái meghatározásával, belterületen a helyrajzi szám alapján be kell azonosítani. Az ingatlanügyi hatóság az azonosító adatokat, a terület helyrajzi számát, a földhasználati nyilvántartásba bejegyzett földhasználó adatait és a rendelkezésére álló bizonyítási eszközöket további intézkedésre megküldi a közérdekű védekezés elrendelésére jogosult hatóságnak. Amennyiben az ingatlanügyi hatóság a növényvédelmi tevékenységről szóló jogszabályban meghatározott más allergén gyomnövény jelenlétét észleli, arról szintén tájékoztatja a közérdekű védekezés elrendelésére jogosult hatóságot.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(3) Amennyiben az (1) bekezdésben foglaltakon kívül a közérdekű védekezés elrendelésére jogosult hatóság észleli a Tv. 17. § (4) bekezdésében foglalt kötelezettség megszegését, megkeresi az ingatlanügyi hatóságot a közérdekű védekezés elrendeléséhez szükséges adatok beszerzése érdekében.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(4) A (3) bekezdés szerinti megkeresésben a közérdekű védekezés elrendelésére jogosult hatóság az ingatlanügyi hatóságnak megküldi külterület esetén a parlagfűvel fertőzött terület főbb töréspontjainak koordinátáit, belterület esetén a helyrajzi számot.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(5)</w:t>
      </w:r>
      <w:bookmarkStart w:id="7" w:name="foot_8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"foot8"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8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7"/>
      <w:r w:rsidRPr="001F7FFC">
        <w:rPr>
          <w:rFonts w:eastAsia="Times New Roman"/>
          <w:bCs w:val="0"/>
          <w:lang w:eastAsia="hu-HU"/>
        </w:rPr>
        <w:t xml:space="preserve"> Az (1) és (3) bekezdés szerinti helyszíni ellenőrzés során az ingatlanügyi hatóság és a jegyző az élelmiszerlánc-felügyeletért felelős miniszter (a továbbiakban: miniszter) által az 1. számú melléklet szerinti adattartalommal rendszeresített, a Nemzeti Élelmiszerlánc-biztonsági Hivatal (a továbbiakban: NÉBIH) honlapján és a Földhivatali Portálon közzétett formanyomtatvány felhasználásával jegyzőkönyvet vesz fel.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(6)</w:t>
      </w:r>
      <w:bookmarkStart w:id="8" w:name="foot_9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"foot9"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9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8"/>
      <w:r w:rsidRPr="001F7FFC">
        <w:rPr>
          <w:rFonts w:eastAsia="Times New Roman"/>
          <w:bCs w:val="0"/>
          <w:lang w:eastAsia="hu-HU"/>
        </w:rPr>
        <w:t xml:space="preserve"> A parlagfű felületi borítottságot és a kultúrnövény tőszámát a 2. számú mellékletben foglaltak alapján kell megállapítani. Kultúrnövény esetén a parlagfű felületi borítottságot négyzetméterenként kell számítani. Az agronómiailag indokolt tőszám viszonyítási mértékegysége darab/folyóméter. Kultúrnövény hiányában a teljes fertőzött területre vonatkozó átlagos parlagfűvel való felületi borítottságot kell megadni.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(7) A parlagfű elleni közérdekű védekezést elrendelő határozatban a (2) bekezdés szerinti töréspontokkal, valamint a helyrajzi számmal meg kell határozni azt a területet, amelyre a hatósági védekezés kiterjed.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(8)</w:t>
      </w:r>
      <w:bookmarkStart w:id="9" w:name="foot_10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"foot10"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10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9"/>
      <w:r w:rsidRPr="001F7FFC">
        <w:rPr>
          <w:rFonts w:eastAsia="Times New Roman"/>
          <w:bCs w:val="0"/>
          <w:lang w:eastAsia="hu-HU"/>
        </w:rPr>
        <w:t xml:space="preserve"> A határozatot közölni kell a Magyar Államkincstárral is.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4. §</w:t>
      </w:r>
      <w:r w:rsidRPr="001F7FFC">
        <w:rPr>
          <w:rFonts w:eastAsia="Times New Roman"/>
          <w:bCs w:val="0"/>
          <w:lang w:eastAsia="hu-HU"/>
        </w:rPr>
        <w:t xml:space="preserve"> (1)</w:t>
      </w:r>
      <w:bookmarkStart w:id="10" w:name="foot_11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"foot11"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11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0"/>
      <w:r w:rsidRPr="001F7FFC">
        <w:rPr>
          <w:rFonts w:eastAsia="Times New Roman"/>
          <w:bCs w:val="0"/>
          <w:lang w:eastAsia="hu-HU"/>
        </w:rPr>
        <w:t xml:space="preserve"> Az ingatlanügyi hatóság a 3. § (1) bekezdése szerint saját kezdeményezésre helyszíni ellenőrzést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Cs w:val="0"/>
          <w:i/>
          <w:iCs/>
          <w:lang w:eastAsia="hu-HU"/>
        </w:rPr>
        <w:t>a</w:t>
      </w:r>
      <w:proofErr w:type="gramEnd"/>
      <w:r w:rsidRPr="001F7FFC">
        <w:rPr>
          <w:rFonts w:eastAsia="Times New Roman"/>
          <w:bCs w:val="0"/>
          <w:i/>
          <w:iCs/>
          <w:lang w:eastAsia="hu-HU"/>
        </w:rPr>
        <w:t>)</w:t>
      </w:r>
      <w:r w:rsidRPr="001F7FFC">
        <w:rPr>
          <w:rFonts w:eastAsia="Times New Roman"/>
          <w:bCs w:val="0"/>
          <w:lang w:eastAsia="hu-HU"/>
        </w:rPr>
        <w:t xml:space="preserve"> a (2) bekezdésében meghatározott parlagfű-veszélyeztetett területeken,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b)</w:t>
      </w:r>
      <w:r w:rsidRPr="001F7FFC">
        <w:rPr>
          <w:rFonts w:eastAsia="Times New Roman"/>
          <w:bCs w:val="0"/>
          <w:lang w:eastAsia="hu-HU"/>
        </w:rPr>
        <w:t xml:space="preserve"> a tevékenységével összefüggésben szerzett információi alapján parlagfűvel fertőzött területeken</w:t>
      </w:r>
    </w:p>
    <w:p w:rsidR="001F7FFC" w:rsidRPr="001F7FFC" w:rsidRDefault="001F7FFC" w:rsidP="00800ABD">
      <w:pPr>
        <w:spacing w:before="100" w:beforeAutospacing="1" w:after="100" w:afterAutospacing="1" w:line="240" w:lineRule="auto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Cs w:val="0"/>
          <w:lang w:eastAsia="hu-HU"/>
        </w:rPr>
        <w:t>végez</w:t>
      </w:r>
      <w:proofErr w:type="gramEnd"/>
      <w:r w:rsidRPr="001F7FFC">
        <w:rPr>
          <w:rFonts w:eastAsia="Times New Roman"/>
          <w:bCs w:val="0"/>
          <w:lang w:eastAsia="hu-HU"/>
        </w:rPr>
        <w:t>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 xml:space="preserve">(2) Parlagfű-veszélyeztetett területnek (a továbbiakban: veszélyeztetett terület) azon külterületi fekvésű területek minősülnek, amelyeken az űrfelvételek távérzékeléses </w:t>
      </w:r>
      <w:r w:rsidRPr="001F7FFC">
        <w:rPr>
          <w:rFonts w:eastAsia="Times New Roman"/>
          <w:bCs w:val="0"/>
          <w:lang w:eastAsia="hu-HU"/>
        </w:rPr>
        <w:lastRenderedPageBreak/>
        <w:t>kiértékelése és a korábbi helyszíni ellenőrzések tapasztalatai alapján a tárgyévi parlagfű-fertőzöttség valószínűsíthető.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(3)</w:t>
      </w:r>
      <w:bookmarkStart w:id="11" w:name="foot_12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"foot12"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12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1"/>
      <w:r w:rsidRPr="001F7FFC">
        <w:rPr>
          <w:rFonts w:eastAsia="Times New Roman"/>
          <w:bCs w:val="0"/>
          <w:lang w:eastAsia="hu-HU"/>
        </w:rPr>
        <w:t xml:space="preserve"> A veszélyeztetett területeket a földmérési és térinformatikai államigazgatási szerv megfigyelő rendszerben azonosítja, és azokról veszélyeztetettségi térképet készít.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(4)</w:t>
      </w:r>
      <w:bookmarkStart w:id="12" w:name="foot_13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"foot13"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13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2"/>
      <w:r w:rsidRPr="001F7FFC">
        <w:rPr>
          <w:rFonts w:eastAsia="Times New Roman"/>
          <w:bCs w:val="0"/>
          <w:lang w:eastAsia="hu-HU"/>
        </w:rPr>
        <w:t xml:space="preserve"> A földmérési és térinformatikai államigazgatási szerv a korábbi év adatai alapján készített veszélyeztetettségi térképet minden év június 15-ig elektronikus úton megküldi az ingatlanügyi hatóságnak. A földmérési és térinformatikai államigazgatási </w:t>
      </w:r>
      <w:proofErr w:type="spellStart"/>
      <w:r w:rsidRPr="001F7FFC">
        <w:rPr>
          <w:rFonts w:eastAsia="Times New Roman"/>
          <w:bCs w:val="0"/>
          <w:lang w:eastAsia="hu-HU"/>
        </w:rPr>
        <w:t>szervI</w:t>
      </w:r>
      <w:proofErr w:type="spellEnd"/>
      <w:r w:rsidRPr="001F7FFC">
        <w:rPr>
          <w:rFonts w:eastAsia="Times New Roman"/>
          <w:bCs w:val="0"/>
          <w:lang w:eastAsia="hu-HU"/>
        </w:rPr>
        <w:t xml:space="preserve"> minden év június 30-tól a vegetációs időszak végéig a veszélyeztetettségi térképet – a tárgyévi helyszíni ellenőrzési adatok és űrfelvételek távérzékeléses kiértékelése alapján – kéthetente frissíti.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(5)</w:t>
      </w:r>
      <w:bookmarkStart w:id="13" w:name="foot_14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"foot14"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14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3"/>
      <w:r w:rsidRPr="001F7FFC">
        <w:rPr>
          <w:rFonts w:eastAsia="Times New Roman"/>
          <w:bCs w:val="0"/>
          <w:lang w:eastAsia="hu-HU"/>
        </w:rPr>
        <w:t xml:space="preserve"> A földmérési és térinformatikai államigazgatási szerv azon területeket, amelyekre az előző évben közérdekű védekezést hajtottak végre, illetve rendeltek el, térinformatikai rendszerben ábrázolja, és tájékoztató jelleggel megyei, valamint településhatáros bontásban a honlapján közzéteszi.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(6)</w:t>
      </w:r>
      <w:bookmarkStart w:id="14" w:name="foot_15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"foot15"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15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4"/>
      <w:r w:rsidRPr="001F7FFC">
        <w:rPr>
          <w:rFonts w:eastAsia="Times New Roman"/>
          <w:bCs w:val="0"/>
          <w:lang w:eastAsia="hu-HU"/>
        </w:rPr>
        <w:t xml:space="preserve"> A (3)–(5) bekezdésben foglaltak teljesítése érdekében az ingatlanügyi hatóság a helyszíni ellenőrzéssel, illetve a növény- és talajvédelmi hatóság az elvégzett közérdekű védekezéssel érintett területek adatait folyamatosan, de legkésőbb az ellenőrzés lefolytatását, illetve a közérdekű védekezés elvégzését követő nyolc napon belül megküldi a földmérési és térinformatikai államigazgatási szervnek.</w:t>
      </w:r>
    </w:p>
    <w:p w:rsidR="001F7FFC" w:rsidRPr="001F7FFC" w:rsidRDefault="001F7FFC" w:rsidP="00800ABD">
      <w:pPr>
        <w:spacing w:before="160" w:after="32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Az állami, illetve a közérdekű védekezés költségei megállapításának és igénylésének szabályai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5. §</w:t>
      </w:r>
      <w:r w:rsidRPr="001F7FFC">
        <w:rPr>
          <w:rFonts w:eastAsia="Times New Roman"/>
          <w:bCs w:val="0"/>
          <w:lang w:eastAsia="hu-HU"/>
        </w:rPr>
        <w:t xml:space="preserve"> (1)</w:t>
      </w:r>
      <w:bookmarkStart w:id="15" w:name="foot_16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"foot16"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16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5"/>
      <w:r w:rsidRPr="001F7FFC">
        <w:rPr>
          <w:rFonts w:eastAsia="Times New Roman"/>
          <w:bCs w:val="0"/>
          <w:lang w:eastAsia="hu-HU"/>
        </w:rPr>
        <w:t xml:space="preserve"> A Tv. 49. §</w:t>
      </w:r>
      <w:proofErr w:type="spellStart"/>
      <w:r w:rsidRPr="001F7FFC">
        <w:rPr>
          <w:rFonts w:eastAsia="Times New Roman"/>
          <w:bCs w:val="0"/>
          <w:lang w:eastAsia="hu-HU"/>
        </w:rPr>
        <w:t>-a</w:t>
      </w:r>
      <w:proofErr w:type="spellEnd"/>
      <w:r w:rsidRPr="001F7FFC">
        <w:rPr>
          <w:rFonts w:eastAsia="Times New Roman"/>
          <w:bCs w:val="0"/>
          <w:lang w:eastAsia="hu-HU"/>
        </w:rPr>
        <w:t xml:space="preserve"> szerinti állami védekezés végrehajtásának fedezetét a költségvetési törvényben a Földművelésügyi Minisztérium (a továbbiakban: Minisztérium) előirányzatából kell biztosítani.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(2) A Tv. 50. §</w:t>
      </w:r>
      <w:proofErr w:type="spellStart"/>
      <w:r w:rsidRPr="001F7FFC">
        <w:rPr>
          <w:rFonts w:eastAsia="Times New Roman"/>
          <w:bCs w:val="0"/>
          <w:lang w:eastAsia="hu-HU"/>
        </w:rPr>
        <w:t>-a</w:t>
      </w:r>
      <w:proofErr w:type="spellEnd"/>
      <w:r w:rsidRPr="001F7FFC">
        <w:rPr>
          <w:rFonts w:eastAsia="Times New Roman"/>
          <w:bCs w:val="0"/>
          <w:lang w:eastAsia="hu-HU"/>
        </w:rPr>
        <w:t xml:space="preserve"> szerinti közérdekű védekezés végrehajtásának fedezetét a költségvetési törvényben a Minisztérium meghatározott előirányzatából kell biztosítani.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(3)</w:t>
      </w:r>
      <w:bookmarkStart w:id="16" w:name="foot_17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"foot17"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17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6"/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(4)</w:t>
      </w:r>
      <w:bookmarkStart w:id="17" w:name="foot_18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"foot18"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18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7"/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6. §</w:t>
      </w:r>
      <w:bookmarkStart w:id="18" w:name="foot_19_place"/>
      <w:r w:rsidR="00AC1C73" w:rsidRPr="001F7FFC">
        <w:rPr>
          <w:rFonts w:eastAsia="Times New Roman"/>
          <w:b/>
          <w:vertAlign w:val="superscript"/>
          <w:lang w:eastAsia="hu-HU"/>
        </w:rPr>
        <w:fldChar w:fldCharType="begin"/>
      </w:r>
      <w:r w:rsidRPr="001F7FFC">
        <w:rPr>
          <w:rFonts w:eastAsia="Times New Roman"/>
          <w:b/>
          <w:vertAlign w:val="superscript"/>
          <w:lang w:eastAsia="hu-HU"/>
        </w:rPr>
        <w:instrText xml:space="preserve"> HYPERLINK "http://njt.hu/cgi_bin/njt_doc.cgi?docid=119570.349944" \l "foot19" </w:instrTex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separate"/>
      </w:r>
      <w:r w:rsidRPr="001F7FFC">
        <w:rPr>
          <w:rFonts w:eastAsia="Times New Roman"/>
          <w:b/>
          <w:color w:val="0000FF"/>
          <w:u w:val="single"/>
          <w:vertAlign w:val="superscript"/>
          <w:lang w:eastAsia="hu-HU"/>
        </w:rPr>
        <w:t>19</w: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end"/>
      </w:r>
      <w:bookmarkEnd w:id="18"/>
      <w:r w:rsidRPr="001F7FFC">
        <w:rPr>
          <w:rFonts w:eastAsia="Times New Roman"/>
          <w:bCs w:val="0"/>
          <w:lang w:eastAsia="hu-HU"/>
        </w:rPr>
        <w:t xml:space="preserve"> A földmérési és térinformatikai államigazgatási szerv a parlagfű elleni közérdekű védekezés végrehajtásának részletes szabályairól szóló jogszabályban meghatározott feladata ellátásával kapcsolatos költségeit – a miniszter előzetes jóváhagyása alapján – az előirányzatból kell biztosítani. A földmérési és térinformatikai államigazgatási szerv az elvégzett feladatokról és felhasznált forrásokról a tárgyév december 31. napjáig szakmai beszámolót és tételes pénzügyi elszámolást nyújt be a miniszternek.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7. §</w:t>
      </w:r>
      <w:r w:rsidRPr="001F7FFC">
        <w:rPr>
          <w:rFonts w:eastAsia="Times New Roman"/>
          <w:bCs w:val="0"/>
          <w:lang w:eastAsia="hu-HU"/>
        </w:rPr>
        <w:t xml:space="preserve"> (1)</w:t>
      </w:r>
      <w:bookmarkStart w:id="19" w:name="foot_20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"foot20"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20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19"/>
      <w:r w:rsidRPr="001F7FFC">
        <w:rPr>
          <w:rFonts w:eastAsia="Times New Roman"/>
          <w:bCs w:val="0"/>
          <w:lang w:eastAsia="hu-HU"/>
        </w:rPr>
        <w:t xml:space="preserve"> A közérdekű védekezéssel kapcsolatos költségek előlegezését a jegyző a védekezést elrendelő határozat meghozatala után igényelheti a növény- és talajvédelmi hatóságtól. Amennyiben a földhasználó a közérdekű védekezés elrendelését követően tesz eleget védekezési kötelezettségének, az okafogyottá vált kiszállással felmerült költségeket lehet érvényesíteni.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t>(2)</w:t>
      </w:r>
      <w:bookmarkStart w:id="20" w:name="foot_21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"foot21"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21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0"/>
      <w:r w:rsidRPr="001F7FFC">
        <w:rPr>
          <w:rFonts w:eastAsia="Times New Roman"/>
          <w:bCs w:val="0"/>
          <w:lang w:eastAsia="hu-HU"/>
        </w:rPr>
        <w:t xml:space="preserve"> A növény- és talajvédelmi hatóság a közérdekű védekezéssel kapcsolatos költségeket a hozzá érkezett igény szerint a jegyző részére az előirányzat terhére megelőlegezi, az igénylés beérkezését követő nyolc napon belül.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8. §</w:t>
      </w:r>
      <w:r w:rsidRPr="001F7FFC">
        <w:rPr>
          <w:rFonts w:eastAsia="Times New Roman"/>
          <w:bCs w:val="0"/>
          <w:lang w:eastAsia="hu-HU"/>
        </w:rPr>
        <w:t xml:space="preserve"> (1)</w:t>
      </w:r>
      <w:bookmarkStart w:id="21" w:name="foot_22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"foot22"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22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1"/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(2)</w:t>
      </w:r>
      <w:bookmarkStart w:id="22" w:name="foot_23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"foot23"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23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2"/>
      <w:r w:rsidRPr="001F7FFC">
        <w:rPr>
          <w:rFonts w:eastAsia="Times New Roman"/>
          <w:bCs w:val="0"/>
          <w:lang w:eastAsia="hu-HU"/>
        </w:rPr>
        <w:t xml:space="preserve"> A közérdekű védekezést elrendelő hatóság a földhasználó által befizetett, illetve az adóhatóság által behajtott és a közérdekű védekezést elrendelő hatóságnak továbbított összeget a beérkezéstől számított nyolc napon belül visszatéríti az előirányzatba. A jegyző a befizetett, illetve továbbított összeget a növény- és talajvédelmi hatóságon keresztül téríti vissza az előirányzatba.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9. §</w:t>
      </w:r>
      <w:r w:rsidRPr="001F7FFC">
        <w:rPr>
          <w:rFonts w:eastAsia="Times New Roman"/>
          <w:bCs w:val="0"/>
          <w:lang w:eastAsia="hu-HU"/>
        </w:rPr>
        <w:t xml:space="preserve"> (1) Ez a rendelet 2008. szeptember 1-jén lép hatályba azzal, hogy rendelkezéseit a hatálybalépését követően indult eljárásokban kell alkalmazni.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(2)</w:t>
      </w:r>
      <w:bookmarkStart w:id="23" w:name="foot_24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"foot24"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24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3"/>
    </w:p>
    <w:p w:rsidR="001F7FFC" w:rsidRPr="001F7FFC" w:rsidRDefault="001F7FFC" w:rsidP="00800ABD">
      <w:pPr>
        <w:spacing w:before="160" w:after="160" w:line="240" w:lineRule="auto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u w:val="single"/>
          <w:lang w:eastAsia="hu-HU"/>
        </w:rPr>
        <w:t>1. számú melléklet a 221/2008. (VIII. 30.) Korm. rendelethez</w:t>
      </w:r>
      <w:bookmarkStart w:id="24" w:name="foot_25_place"/>
      <w:r w:rsidR="00AC1C73" w:rsidRPr="001F7FFC">
        <w:rPr>
          <w:rFonts w:eastAsia="Times New Roman"/>
          <w:bCs w:val="0"/>
          <w:i/>
          <w:iCs/>
          <w:u w:val="single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i/>
          <w:iCs/>
          <w:u w:val="single"/>
          <w:vertAlign w:val="superscript"/>
          <w:lang w:eastAsia="hu-HU"/>
        </w:rPr>
        <w:instrText xml:space="preserve"> HYPERLINK "http://njt.hu/cgi_bin/njt_doc.cgi?docid=119570.349944" \l "foot25" </w:instrText>
      </w:r>
      <w:r w:rsidR="00AC1C73" w:rsidRPr="001F7FFC">
        <w:rPr>
          <w:rFonts w:eastAsia="Times New Roman"/>
          <w:bCs w:val="0"/>
          <w:i/>
          <w:iCs/>
          <w:u w:val="single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i/>
          <w:iCs/>
          <w:color w:val="0000FF"/>
          <w:u w:val="single"/>
          <w:vertAlign w:val="superscript"/>
          <w:lang w:eastAsia="hu-HU"/>
        </w:rPr>
        <w:t>25</w:t>
      </w:r>
      <w:r w:rsidR="00AC1C73" w:rsidRPr="001F7FFC">
        <w:rPr>
          <w:rFonts w:eastAsia="Times New Roman"/>
          <w:bCs w:val="0"/>
          <w:i/>
          <w:iCs/>
          <w:u w:val="single"/>
          <w:vertAlign w:val="superscript"/>
          <w:lang w:eastAsia="hu-HU"/>
        </w:rPr>
        <w:fldChar w:fldCharType="end"/>
      </w:r>
      <w:bookmarkEnd w:id="24"/>
    </w:p>
    <w:p w:rsidR="001F7FFC" w:rsidRPr="001F7FFC" w:rsidRDefault="001F7FFC" w:rsidP="00800ABD">
      <w:pPr>
        <w:spacing w:before="160" w:after="16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A helyszíni ellenőrzés során készített jegyzőkönyv, vagy feljegyzés tartalmi elemei</w:t>
      </w:r>
      <w:bookmarkStart w:id="25" w:name="foot_26_place"/>
      <w:r w:rsidR="00AC1C73" w:rsidRPr="001F7FFC">
        <w:rPr>
          <w:rFonts w:eastAsia="Times New Roman"/>
          <w:b/>
          <w:vertAlign w:val="superscript"/>
          <w:lang w:eastAsia="hu-HU"/>
        </w:rPr>
        <w:fldChar w:fldCharType="begin"/>
      </w:r>
      <w:r w:rsidRPr="001F7FFC">
        <w:rPr>
          <w:rFonts w:eastAsia="Times New Roman"/>
          <w:b/>
          <w:vertAlign w:val="superscript"/>
          <w:lang w:eastAsia="hu-HU"/>
        </w:rPr>
        <w:instrText xml:space="preserve"> HYPERLINK "http://njt.hu/cgi_bin/njt_doc.cgi?docid=119570.349944" \l "foot26" </w:instrTex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separate"/>
      </w:r>
      <w:r w:rsidRPr="001F7FFC">
        <w:rPr>
          <w:rFonts w:eastAsia="Times New Roman"/>
          <w:b/>
          <w:color w:val="0000FF"/>
          <w:u w:val="single"/>
          <w:vertAlign w:val="superscript"/>
          <w:lang w:eastAsia="hu-HU"/>
        </w:rPr>
        <w:t>26</w: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end"/>
      </w:r>
      <w:bookmarkEnd w:id="25"/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A helyszíni ellenőrzés során készített jegyzőkönyv, vagy feljegyzés tartalmi elemei:</w:t>
      </w:r>
      <w:bookmarkStart w:id="26" w:name="foot_27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"foot27"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27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6"/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1.</w:t>
      </w:r>
      <w:bookmarkStart w:id="27" w:name="foot_28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"foot28"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28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7"/>
      <w:r w:rsidRPr="001F7FFC">
        <w:rPr>
          <w:rFonts w:eastAsia="Times New Roman"/>
          <w:bCs w:val="0"/>
          <w:lang w:eastAsia="hu-HU"/>
        </w:rPr>
        <w:t xml:space="preserve"> az általános közigazgatási rendtartásról szóló törvény szerinti kötelező tartalmi elemek;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2. az arra való utalás, hogy a helyszíni ellenőrzés az élelmiszerláncról és hatósági felügyeletéről szóló 2008. évi XLVI. törvény 17. § (4) bekezdése szerinti kötelezettség ellenőrzésére irányul;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3. a helyszíni ellenőrzést végző személy neve és beosztása;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4. annak megjelölése, hogy a helyszíni ellenőrzésre bejelentés alapján vagy egyébként hivatalból került sor;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5. annak megjelölése, hogy a helyszíni ellenőrzésre lezárt terület felnyitásával került-e sor;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6. a hatóságnak a helyszíni ellenőrzés során arra vonatkozóan tett megállapítása, mely szerint az ellenőrzéssel érintett földterület használója az élelmiszerláncról és hatósági felügyeletéről szóló 2008. évi XLVI. törvény 17. § (4) bekezdésében foglalt kötelezettségének eleget tett-e, és hogy a földterület parlagfűvel fertőzött-e;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 xml:space="preserve">7. a parlagfű </w:t>
      </w:r>
      <w:proofErr w:type="spellStart"/>
      <w:r w:rsidRPr="001F7FFC">
        <w:rPr>
          <w:rFonts w:eastAsia="Times New Roman"/>
          <w:bCs w:val="0"/>
          <w:lang w:eastAsia="hu-HU"/>
        </w:rPr>
        <w:t>fenológiai</w:t>
      </w:r>
      <w:proofErr w:type="spellEnd"/>
      <w:r w:rsidRPr="001F7FFC">
        <w:rPr>
          <w:rFonts w:eastAsia="Times New Roman"/>
          <w:bCs w:val="0"/>
          <w:lang w:eastAsia="hu-HU"/>
        </w:rPr>
        <w:t xml:space="preserve"> állapota: csíranövény; száras-leveles, de még nem virágbimbós növény; újrasarjadó növény; virágbimbós állapot; virágzó növény; terméses növény; érett termésű növény; elszáradt kóró;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8. a parlagfű növény hozzávetőleges átlagos magassága (cm);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9. más allergén gyomnövény faja;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 xml:space="preserve">10. a fertőzött terület főbb töréspontjainak koordinátái vagy a mérési </w:t>
      </w:r>
      <w:proofErr w:type="gramStart"/>
      <w:r w:rsidRPr="001F7FFC">
        <w:rPr>
          <w:rFonts w:eastAsia="Times New Roman"/>
          <w:bCs w:val="0"/>
          <w:lang w:eastAsia="hu-HU"/>
        </w:rPr>
        <w:t>fájl(</w:t>
      </w:r>
      <w:proofErr w:type="gramEnd"/>
      <w:r w:rsidRPr="001F7FFC">
        <w:rPr>
          <w:rFonts w:eastAsia="Times New Roman"/>
          <w:bCs w:val="0"/>
          <w:lang w:eastAsia="hu-HU"/>
        </w:rPr>
        <w:t>ok) neve, illetve a helyrajzi szám;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t>11. az ellenőrzött terület jellemzőinek leírása: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proofErr w:type="gramStart"/>
      <w:r w:rsidRPr="001F7FFC">
        <w:rPr>
          <w:rFonts w:eastAsia="Times New Roman"/>
          <w:bCs w:val="0"/>
          <w:lang w:eastAsia="hu-HU"/>
        </w:rPr>
        <w:t>a</w:t>
      </w:r>
      <w:proofErr w:type="gramEnd"/>
      <w:r w:rsidRPr="001F7FFC">
        <w:rPr>
          <w:rFonts w:eastAsia="Times New Roman"/>
          <w:bCs w:val="0"/>
          <w:lang w:eastAsia="hu-HU"/>
        </w:rPr>
        <w:t>) nem mezőgazdasági (művelés alól kivett) terület /mezőgazdasági terület,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b) ha mezőgazdasági terület: művelt/nem művelt (parlag),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c) ha művelt mezőgazdasági terület: kultúrnövénnyel fedett/tarló/kaszált/egyéb;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12. annak megállapítása, hogy a közérdekű védekezés kultúrnövény károsodása nélkül elvégezhető-e;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13. a kultúrnövény faja;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14.</w:t>
      </w:r>
      <w:bookmarkStart w:id="28" w:name="foot_29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"foot29"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29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8"/>
      <w:r w:rsidRPr="001F7FFC">
        <w:rPr>
          <w:rFonts w:eastAsia="Times New Roman"/>
          <w:bCs w:val="0"/>
          <w:lang w:eastAsia="hu-HU"/>
        </w:rPr>
        <w:t xml:space="preserve"> a parlagfű felületi borítottságának és a kultúrnövény tőszámának megállapításához felvett egyes főbb töréspontok koordinátái, valamint e töréspontok környezetében kijelölt kvadrátok parlagfű borítottságának %-os mértéke, illetve a leszámolt tőszám;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15. a parlagfűvel való felületi borítottság (%);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16. a kultúrnövény tőszámának számított átlaga (db);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17. a helyszíni ellenőrzésről készült képfelvétel azonosítója, illetve a képfelvétel helyének koordinátái vagy a mérési fájl neve, illetve a helyrajzi szám;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18.</w:t>
      </w:r>
      <w:bookmarkStart w:id="29" w:name="foot_30_place"/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begin"/>
      </w:r>
      <w:r w:rsidRPr="001F7FFC">
        <w:rPr>
          <w:rFonts w:eastAsia="Times New Roman"/>
          <w:bCs w:val="0"/>
          <w:vertAlign w:val="superscript"/>
          <w:lang w:eastAsia="hu-HU"/>
        </w:rPr>
        <w:instrText xml:space="preserve"> HYPERLINK "http://njt.hu/cgi_bin/njt_doc.cgi?docid=119570.349944" \l "foot30" </w:instrTex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separate"/>
      </w:r>
      <w:r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30</w:t>
      </w:r>
      <w:r w:rsidR="00AC1C73" w:rsidRPr="001F7FFC">
        <w:rPr>
          <w:rFonts w:eastAsia="Times New Roman"/>
          <w:bCs w:val="0"/>
          <w:vertAlign w:val="superscript"/>
          <w:lang w:eastAsia="hu-HU"/>
        </w:rPr>
        <w:fldChar w:fldCharType="end"/>
      </w:r>
      <w:bookmarkEnd w:id="29"/>
      <w:r w:rsidRPr="001F7FFC">
        <w:rPr>
          <w:rFonts w:eastAsia="Times New Roman"/>
          <w:bCs w:val="0"/>
          <w:lang w:eastAsia="hu-HU"/>
        </w:rPr>
        <w:t xml:space="preserve"> a jegyzőkönyv, vagy feljegyzés mellékleteinek megnevezése.</w:t>
      </w:r>
    </w:p>
    <w:p w:rsidR="001F7FFC" w:rsidRPr="001F7FFC" w:rsidRDefault="001F7FFC" w:rsidP="00800ABD">
      <w:pPr>
        <w:spacing w:before="160" w:after="160" w:line="240" w:lineRule="auto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u w:val="single"/>
          <w:lang w:eastAsia="hu-HU"/>
        </w:rPr>
        <w:t>2. számú melléklet a 221/2008. (VIII. 30.) Korm. rendelethez</w:t>
      </w:r>
    </w:p>
    <w:p w:rsidR="001F7FFC" w:rsidRPr="001F7FFC" w:rsidRDefault="001F7FFC" w:rsidP="00800ABD">
      <w:pPr>
        <w:spacing w:before="160" w:after="16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/>
          <w:lang w:eastAsia="hu-HU"/>
        </w:rPr>
        <w:t>Kultúrnövényben megállapított parlagfű-fertőzés esetén a felületi borítottság és a kultúrnövény tőszámának megállapítása</w:t>
      </w:r>
      <w:bookmarkStart w:id="30" w:name="foot_31_place"/>
      <w:r w:rsidR="00AC1C73" w:rsidRPr="001F7FFC">
        <w:rPr>
          <w:rFonts w:eastAsia="Times New Roman"/>
          <w:b/>
          <w:vertAlign w:val="superscript"/>
          <w:lang w:eastAsia="hu-HU"/>
        </w:rPr>
        <w:fldChar w:fldCharType="begin"/>
      </w:r>
      <w:r w:rsidRPr="001F7FFC">
        <w:rPr>
          <w:rFonts w:eastAsia="Times New Roman"/>
          <w:b/>
          <w:vertAlign w:val="superscript"/>
          <w:lang w:eastAsia="hu-HU"/>
        </w:rPr>
        <w:instrText xml:space="preserve"> HYPERLINK "http://njt.hu/cgi_bin/njt_doc.cgi?docid=119570.349944" \l "foot31" </w:instrTex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separate"/>
      </w:r>
      <w:r w:rsidRPr="001F7FFC">
        <w:rPr>
          <w:rFonts w:eastAsia="Times New Roman"/>
          <w:b/>
          <w:color w:val="0000FF"/>
          <w:u w:val="single"/>
          <w:vertAlign w:val="superscript"/>
          <w:lang w:eastAsia="hu-HU"/>
        </w:rPr>
        <w:t>31</w:t>
      </w:r>
      <w:r w:rsidR="00AC1C73" w:rsidRPr="001F7FFC">
        <w:rPr>
          <w:rFonts w:eastAsia="Times New Roman"/>
          <w:b/>
          <w:vertAlign w:val="superscript"/>
          <w:lang w:eastAsia="hu-HU"/>
        </w:rPr>
        <w:fldChar w:fldCharType="end"/>
      </w:r>
      <w:bookmarkEnd w:id="30"/>
    </w:p>
    <w:p w:rsidR="001F7FFC" w:rsidRPr="001F7FFC" w:rsidRDefault="001F7FFC" w:rsidP="00800ABD">
      <w:pPr>
        <w:spacing w:before="160" w:after="16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I.</w:t>
      </w:r>
    </w:p>
    <w:p w:rsidR="001F7FFC" w:rsidRPr="001F7FFC" w:rsidRDefault="001F7FFC" w:rsidP="00800ABD">
      <w:pPr>
        <w:spacing w:before="160" w:after="32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A parlagfű folt felületi borítottságának megállapítása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A parlagfű folt borításának megállapítását, 10 hektárt meg nem haladó parlagfűvel fertőzött területen 5 fő töréspont, 10 hektárt meghaladó parlagfűvel fertőzött terület felett 10 fő töréspont környezetében kijelölt 2 x 2 m-es területen (a továbbiakban: kvadrát) becsléssel, százalékban kifejezve kell elvégezni. A kvadrátokat úgy kell kijelölni, hogy az adatok a fertőzött területet reprezentálják. A parlagfű folt borítottságát a becsült százalékos értékek átlagaként kell rögzíteni.</w:t>
      </w:r>
    </w:p>
    <w:p w:rsidR="001F7FFC" w:rsidRPr="001F7FFC" w:rsidRDefault="001F7FFC" w:rsidP="00800ABD">
      <w:pPr>
        <w:spacing w:before="160" w:after="16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II.</w:t>
      </w:r>
    </w:p>
    <w:p w:rsidR="001F7FFC" w:rsidRPr="001F7FFC" w:rsidRDefault="001F7FFC" w:rsidP="00800ABD">
      <w:pPr>
        <w:spacing w:before="160" w:after="320" w:line="240" w:lineRule="auto"/>
        <w:jc w:val="center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i/>
          <w:iCs/>
          <w:lang w:eastAsia="hu-HU"/>
        </w:rPr>
        <w:t>A kultúrnövény tőszámának megállapítása</w:t>
      </w:r>
    </w:p>
    <w:p w:rsidR="001F7FFC" w:rsidRPr="001F7FFC" w:rsidRDefault="001F7FFC" w:rsidP="00800ABD">
      <w:pPr>
        <w:spacing w:before="100" w:beforeAutospacing="1" w:after="20" w:line="240" w:lineRule="auto"/>
        <w:ind w:firstLine="180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t>Az agronómiailag indokolt tőszám megállapításához a számlálást a parlagfű folt borítottságának megállapítására kijelölt kvadrátokon belül 5-5 folyóméteren kell elvégezni. A parlagfű folton belül a kultúrnövény tőszámának megállapítása a kapott értékek átlagolásával történik.</w:t>
      </w:r>
    </w:p>
    <w:p w:rsidR="001F7FFC" w:rsidRPr="001F7FFC" w:rsidRDefault="00AC1C73" w:rsidP="00800ABD">
      <w:pPr>
        <w:spacing w:after="0" w:line="240" w:lineRule="auto"/>
        <w:rPr>
          <w:rFonts w:eastAsia="Times New Roman"/>
          <w:bCs w:val="0"/>
          <w:lang w:eastAsia="hu-HU"/>
        </w:rPr>
      </w:pPr>
      <w:r w:rsidRPr="00AC1C73">
        <w:rPr>
          <w:rFonts w:eastAsia="Times New Roman"/>
          <w:bCs w:val="0"/>
          <w:lang w:eastAsia="hu-HU"/>
        </w:rPr>
        <w:pict>
          <v:rect id="_x0000_i1025" style="width:0;height:1.5pt" o:hralign="center" o:hrstd="t" o:hr="t" fillcolor="#a0a0a0" stroked="f"/>
        </w:pict>
      </w:r>
    </w:p>
    <w:bookmarkStart w:id="31" w:name="foot1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1"/>
      <w:r w:rsidR="001F7FFC" w:rsidRPr="001F7FFC">
        <w:rPr>
          <w:rFonts w:eastAsia="Times New Roman"/>
          <w:bCs w:val="0"/>
          <w:lang w:eastAsia="hu-HU"/>
        </w:rPr>
        <w:t xml:space="preserve"> Az 1. § (1) bekezdés a) pontja a 379/2016. (XII. 2.) Korm. rendelet 120. § (1) bekezdésével megállapított szöveg.</w:t>
      </w:r>
    </w:p>
    <w:bookmarkStart w:id="32" w:name="foot2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2"/>
      <w:r w:rsidR="001F7FFC" w:rsidRPr="001F7FFC">
        <w:rPr>
          <w:rFonts w:eastAsia="Times New Roman"/>
          <w:bCs w:val="0"/>
          <w:lang w:eastAsia="hu-HU"/>
        </w:rPr>
        <w:t xml:space="preserve"> Az 1. § (1) bekezdés b) pontja a 255/2013. (VII. 5.) Korm. rendelet 24. § (1) bekezdése szerint módosított szöveg.</w:t>
      </w:r>
    </w:p>
    <w:bookmarkStart w:id="33" w:name="foot3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"foot_3_place"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3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3"/>
      <w:r w:rsidR="001F7FFC" w:rsidRPr="001F7FFC">
        <w:rPr>
          <w:rFonts w:eastAsia="Times New Roman"/>
          <w:bCs w:val="0"/>
          <w:lang w:eastAsia="hu-HU"/>
        </w:rPr>
        <w:t xml:space="preserve"> Az 1. § (2) bekezdése a 351/2010. (XII. 30.) Korm. rendelet 220. § (2) bekezdésével megállapított, a 255/2013. (VII. 5.) Korm. rendelet 24. § (2) bekezdése, a 70/2015. (III. 30.) Korm. rendelet 125. § b) pontja szerint módosított szöveg.</w:t>
      </w:r>
    </w:p>
    <w:bookmarkStart w:id="34" w:name="foot4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"foot_4_place"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4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4"/>
      <w:r w:rsidR="001F7FFC" w:rsidRPr="001F7FFC">
        <w:rPr>
          <w:rFonts w:eastAsia="Times New Roman"/>
          <w:bCs w:val="0"/>
          <w:lang w:eastAsia="hu-HU"/>
        </w:rPr>
        <w:t xml:space="preserve"> A 2. § (3) bekezdése a 379/2016. (XII. 2.) Korm. rendelet 120. § (2) bekezdésével megállapított szöveg.</w:t>
      </w:r>
    </w:p>
    <w:bookmarkStart w:id="35" w:name="foot5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"foot_5_place"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5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5"/>
      <w:r w:rsidR="001F7FFC" w:rsidRPr="001F7FFC">
        <w:rPr>
          <w:rFonts w:eastAsia="Times New Roman"/>
          <w:bCs w:val="0"/>
          <w:lang w:eastAsia="hu-HU"/>
        </w:rPr>
        <w:t xml:space="preserve"> A 2. § (4) bekezdését az 57/2014. (III. 4.) Korm. rendelet 8.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</w:t>
      </w:r>
      <w:proofErr w:type="gramStart"/>
      <w:r w:rsidR="001F7FFC" w:rsidRPr="001F7FFC">
        <w:rPr>
          <w:rFonts w:eastAsia="Times New Roman"/>
          <w:bCs w:val="0"/>
          <w:lang w:eastAsia="hu-HU"/>
        </w:rPr>
        <w:t>a</w:t>
      </w:r>
      <w:proofErr w:type="spellEnd"/>
      <w:proofErr w:type="gramEnd"/>
      <w:r w:rsidR="001F7FFC" w:rsidRPr="001F7FFC">
        <w:rPr>
          <w:rFonts w:eastAsia="Times New Roman"/>
          <w:bCs w:val="0"/>
          <w:lang w:eastAsia="hu-HU"/>
        </w:rPr>
        <w:t xml:space="preserve"> iktatta be.</w:t>
      </w:r>
    </w:p>
    <w:bookmarkStart w:id="36" w:name="foot6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"foot_6_place"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6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6"/>
      <w:r w:rsidR="001F7FFC" w:rsidRPr="001F7FFC">
        <w:rPr>
          <w:rFonts w:eastAsia="Times New Roman"/>
          <w:bCs w:val="0"/>
          <w:lang w:eastAsia="hu-HU"/>
        </w:rPr>
        <w:t xml:space="preserve"> A 3. § (1) bekezdése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-a</w:t>
      </w:r>
      <w:proofErr w:type="spellEnd"/>
      <w:r w:rsidR="001F7FFC" w:rsidRPr="001F7FFC">
        <w:rPr>
          <w:rFonts w:eastAsia="Times New Roman"/>
          <w:bCs w:val="0"/>
          <w:lang w:eastAsia="hu-HU"/>
        </w:rPr>
        <w:t xml:space="preserve"> szerint módosított szöveg. E módosító rendelet 687. § (1) bekezdése alapján a rendelkezést a 2009. október 1. napját követően indult vagy megismételt eljárásokban kell alkalmazni.</w:t>
      </w:r>
    </w:p>
    <w:bookmarkStart w:id="37" w:name="foot7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"foot_7_place"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7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7"/>
      <w:r w:rsidR="001F7FFC" w:rsidRPr="001F7FFC">
        <w:rPr>
          <w:rFonts w:eastAsia="Times New Roman"/>
          <w:bCs w:val="0"/>
          <w:lang w:eastAsia="hu-HU"/>
        </w:rPr>
        <w:t xml:space="preserve"> A 3. § (2) bekezdése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</w:t>
      </w:r>
      <w:proofErr w:type="gramStart"/>
      <w:r w:rsidR="001F7FFC" w:rsidRPr="001F7FFC">
        <w:rPr>
          <w:rFonts w:eastAsia="Times New Roman"/>
          <w:bCs w:val="0"/>
          <w:lang w:eastAsia="hu-HU"/>
        </w:rPr>
        <w:t>a</w:t>
      </w:r>
      <w:proofErr w:type="spellEnd"/>
      <w:proofErr w:type="gramEnd"/>
      <w:r w:rsidR="001F7FFC" w:rsidRPr="001F7FFC">
        <w:rPr>
          <w:rFonts w:eastAsia="Times New Roman"/>
          <w:bCs w:val="0"/>
          <w:lang w:eastAsia="hu-HU"/>
        </w:rPr>
        <w:t>, a 189/2013. (VI. 7.) Korm. rendelet 6. § (5) bekezdés a) pontja szerint módosított szöveg.</w:t>
      </w:r>
    </w:p>
    <w:bookmarkStart w:id="38" w:name="foot8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"foot_8_place"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8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8"/>
      <w:r w:rsidR="001F7FFC" w:rsidRPr="001F7FFC">
        <w:rPr>
          <w:rFonts w:eastAsia="Times New Roman"/>
          <w:bCs w:val="0"/>
          <w:lang w:eastAsia="hu-HU"/>
        </w:rPr>
        <w:t xml:space="preserve"> A 3. § (5) bekezdése a 189/2013. (VI. 7.) Korm. rendelet 6. § (1) bekezdésével megállapított, a 379/2016. (XII. 2.) Korm. rendelet 120. § (4) bekezdés a) pontja szerint módosított szöveg.</w:t>
      </w:r>
    </w:p>
    <w:bookmarkStart w:id="39" w:name="foot9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"foot_9_place"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9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39"/>
      <w:r w:rsidR="001F7FFC" w:rsidRPr="001F7FFC">
        <w:rPr>
          <w:rFonts w:eastAsia="Times New Roman"/>
          <w:bCs w:val="0"/>
          <w:lang w:eastAsia="hu-HU"/>
        </w:rPr>
        <w:t xml:space="preserve"> A 3. § (6) bekezdése a 189/2013. (VI. 7.) Korm. rendelet 6. § (1) bekezdésével megállapított szöveg.</w:t>
      </w:r>
    </w:p>
    <w:bookmarkStart w:id="40" w:name="foot10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"foot_10_place"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10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0"/>
      <w:r w:rsidR="001F7FFC" w:rsidRPr="001F7FFC">
        <w:rPr>
          <w:rFonts w:eastAsia="Times New Roman"/>
          <w:bCs w:val="0"/>
          <w:lang w:eastAsia="hu-HU"/>
        </w:rPr>
        <w:t xml:space="preserve"> A 3. § (8) bekezdése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</w:t>
      </w:r>
      <w:proofErr w:type="gramStart"/>
      <w:r w:rsidR="001F7FFC" w:rsidRPr="001F7FFC">
        <w:rPr>
          <w:rFonts w:eastAsia="Times New Roman"/>
          <w:bCs w:val="0"/>
          <w:lang w:eastAsia="hu-HU"/>
        </w:rPr>
        <w:t>a</w:t>
      </w:r>
      <w:proofErr w:type="spellEnd"/>
      <w:proofErr w:type="gramEnd"/>
      <w:r w:rsidR="001F7FFC" w:rsidRPr="001F7FFC">
        <w:rPr>
          <w:rFonts w:eastAsia="Times New Roman"/>
          <w:bCs w:val="0"/>
          <w:lang w:eastAsia="hu-HU"/>
        </w:rPr>
        <w:t>, a 240/2017. (VIII. 28.) Korm. rendelet 1.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-a</w:t>
      </w:r>
      <w:proofErr w:type="spellEnd"/>
      <w:r w:rsidR="001F7FFC" w:rsidRPr="001F7FFC">
        <w:rPr>
          <w:rFonts w:eastAsia="Times New Roman"/>
          <w:bCs w:val="0"/>
          <w:lang w:eastAsia="hu-HU"/>
        </w:rPr>
        <w:t xml:space="preserve"> szerint módosított szöveg.</w:t>
      </w:r>
    </w:p>
    <w:bookmarkStart w:id="41" w:name="foot11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"foot_11_place"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11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1"/>
      <w:r w:rsidR="001F7FFC" w:rsidRPr="001F7FFC">
        <w:rPr>
          <w:rFonts w:eastAsia="Times New Roman"/>
          <w:bCs w:val="0"/>
          <w:lang w:eastAsia="hu-HU"/>
        </w:rPr>
        <w:t xml:space="preserve"> A 4. § (1) bekezdés bevezető szövegrésze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-a</w:t>
      </w:r>
      <w:proofErr w:type="spellEnd"/>
      <w:r w:rsidR="001F7FFC" w:rsidRPr="001F7FFC">
        <w:rPr>
          <w:rFonts w:eastAsia="Times New Roman"/>
          <w:bCs w:val="0"/>
          <w:lang w:eastAsia="hu-HU"/>
        </w:rPr>
        <w:t xml:space="preserve"> szerint módosított szöveg. E módosító rendelet 687. § (1) bekezdése alapján a rendelkezést a 2009. október 1. napját követően indult vagy megismételt eljárásokban kell alkalmazni.</w:t>
      </w:r>
    </w:p>
    <w:bookmarkStart w:id="42" w:name="foot12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"foot_12_place"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12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2"/>
      <w:r w:rsidR="001F7FFC" w:rsidRPr="001F7FFC">
        <w:rPr>
          <w:rFonts w:eastAsia="Times New Roman"/>
          <w:bCs w:val="0"/>
          <w:lang w:eastAsia="hu-HU"/>
        </w:rPr>
        <w:t xml:space="preserve"> A 4. § (3) bekezdése a 379/2016. (XII. 2.) Korm. rendelet 120. § (4) bekezdés b) pontja szerint módosított szöveg.</w:t>
      </w:r>
    </w:p>
    <w:bookmarkStart w:id="43" w:name="foot13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"foot_13_place"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13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3"/>
      <w:r w:rsidR="001F7FFC" w:rsidRPr="001F7FFC">
        <w:rPr>
          <w:rFonts w:eastAsia="Times New Roman"/>
          <w:bCs w:val="0"/>
          <w:lang w:eastAsia="hu-HU"/>
        </w:rPr>
        <w:t xml:space="preserve"> A 4. § (4) bekezdése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</w:t>
      </w:r>
      <w:proofErr w:type="gramStart"/>
      <w:r w:rsidR="001F7FFC" w:rsidRPr="001F7FFC">
        <w:rPr>
          <w:rFonts w:eastAsia="Times New Roman"/>
          <w:bCs w:val="0"/>
          <w:lang w:eastAsia="hu-HU"/>
        </w:rPr>
        <w:t>a</w:t>
      </w:r>
      <w:proofErr w:type="spellEnd"/>
      <w:proofErr w:type="gramEnd"/>
      <w:r w:rsidR="001F7FFC" w:rsidRPr="001F7FFC">
        <w:rPr>
          <w:rFonts w:eastAsia="Times New Roman"/>
          <w:bCs w:val="0"/>
          <w:lang w:eastAsia="hu-HU"/>
        </w:rPr>
        <w:t>, a 379/2016. (XII. 2.) Korm. rendelet 120. § (4) bekezdés c) pontja szerint módosított szöveg.</w:t>
      </w:r>
    </w:p>
    <w:bookmarkStart w:id="44" w:name="foot14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"foot_14_place"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14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4"/>
      <w:r w:rsidR="001F7FFC" w:rsidRPr="001F7FFC">
        <w:rPr>
          <w:rFonts w:eastAsia="Times New Roman"/>
          <w:bCs w:val="0"/>
          <w:lang w:eastAsia="hu-HU"/>
        </w:rPr>
        <w:t xml:space="preserve"> A 4. § (5) bekezdése a 189/2013. (VI. 7.) Korm. rendelet 6. § (2) bekezdésével megállapított, a 379/2016. (XII. 2.) Korm. rendelet 120. § (4) bekezdés c) pontja szerint módosított szöveg.</w:t>
      </w:r>
    </w:p>
    <w:bookmarkStart w:id="45" w:name="foot15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"foot_15_place"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15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5"/>
      <w:r w:rsidR="001F7FFC" w:rsidRPr="001F7FFC">
        <w:rPr>
          <w:rFonts w:eastAsia="Times New Roman"/>
          <w:bCs w:val="0"/>
          <w:lang w:eastAsia="hu-HU"/>
        </w:rPr>
        <w:t xml:space="preserve"> A 4. § (6) bekezdése a 351/2010. (XII. 30.) Korm. rendelet 220. § (4) bekezdésével megállapított, a 70/2015. (III. 30.) Korm. rendelet 125. § d) pontja, a 379/2016. (XII. 2.) Korm. rendelet 120. § (4) bekezdés d) pontja szerint módosított szöveg.</w:t>
      </w:r>
    </w:p>
    <w:bookmarkStart w:id="46" w:name="foot16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"foot_16_place"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16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6"/>
      <w:r w:rsidR="001F7FFC" w:rsidRPr="001F7FFC">
        <w:rPr>
          <w:rFonts w:eastAsia="Times New Roman"/>
          <w:bCs w:val="0"/>
          <w:lang w:eastAsia="hu-HU"/>
        </w:rPr>
        <w:t xml:space="preserve"> Az 5. § (1) bekezdése a 379/2016. (XII. 2.) Korm. rendelet 120. § (4) bekezdés e) pontja szerint módosított szöveg.</w:t>
      </w:r>
    </w:p>
    <w:bookmarkStart w:id="47" w:name="foot17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"foot_17_place"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17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7"/>
      <w:r w:rsidR="001F7FFC" w:rsidRPr="001F7FFC">
        <w:rPr>
          <w:rFonts w:eastAsia="Times New Roman"/>
          <w:bCs w:val="0"/>
          <w:lang w:eastAsia="hu-HU"/>
        </w:rPr>
        <w:t xml:space="preserve"> Az 5. § (3) bekezdését a 189/2013. (VI. 7.) Korm. rendelet 6. § (6) bekezdése hatályon kívül helyezte.</w:t>
      </w:r>
    </w:p>
    <w:bookmarkStart w:id="48" w:name="foot18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"foot_18_place"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18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8"/>
      <w:r w:rsidR="001F7FFC" w:rsidRPr="001F7FFC">
        <w:rPr>
          <w:rFonts w:eastAsia="Times New Roman"/>
          <w:bCs w:val="0"/>
          <w:lang w:eastAsia="hu-HU"/>
        </w:rPr>
        <w:t xml:space="preserve"> Az 5. § (4) bekezdését a 189/2013. (VI. 7.) Korm. rendelet 6. § (6) bekezdése hatályon kívül helyezte.</w:t>
      </w:r>
    </w:p>
    <w:bookmarkStart w:id="49" w:name="foot19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"foot_19_place"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19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49"/>
      <w:r w:rsidR="001F7FFC" w:rsidRPr="001F7FFC">
        <w:rPr>
          <w:rFonts w:eastAsia="Times New Roman"/>
          <w:bCs w:val="0"/>
          <w:lang w:eastAsia="hu-HU"/>
        </w:rPr>
        <w:t xml:space="preserve"> A 6. § a 182/2009. (IX. 10.) Korm. rendelet 640.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</w:t>
      </w:r>
      <w:proofErr w:type="gramStart"/>
      <w:r w:rsidR="001F7FFC" w:rsidRPr="001F7FFC">
        <w:rPr>
          <w:rFonts w:eastAsia="Times New Roman"/>
          <w:bCs w:val="0"/>
          <w:lang w:eastAsia="hu-HU"/>
        </w:rPr>
        <w:t>a</w:t>
      </w:r>
      <w:proofErr w:type="spellEnd"/>
      <w:proofErr w:type="gramEnd"/>
      <w:r w:rsidR="001F7FFC" w:rsidRPr="001F7FFC">
        <w:rPr>
          <w:rFonts w:eastAsia="Times New Roman"/>
          <w:bCs w:val="0"/>
          <w:lang w:eastAsia="hu-HU"/>
        </w:rPr>
        <w:t>, a 189/2013. (VI. 7.) Korm. rendelet 6. § (5) bekezdés a) és c) pontja, a 379/2016. (XII. 2.) Korm. rendelet 120. § (4) bekezdés c) pontja és (5) bekezdés a) pontja szerint módosított szöveg.</w:t>
      </w:r>
    </w:p>
    <w:bookmarkStart w:id="50" w:name="foot20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"foot_20_place"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20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0"/>
      <w:r w:rsidR="001F7FFC" w:rsidRPr="001F7FFC">
        <w:rPr>
          <w:rFonts w:eastAsia="Times New Roman"/>
          <w:bCs w:val="0"/>
          <w:lang w:eastAsia="hu-HU"/>
        </w:rPr>
        <w:t xml:space="preserve"> A 7. § (1) bekezdése a 189/2013. (VI. 7.) Korm. rendelet 6. § (3) bekezdésével megállapított, a 379/2016. (XII. 2.) Korm. rendelet 120. § (4) bekezdés f) pontja szerint módosított szöveg.</w:t>
      </w:r>
    </w:p>
    <w:bookmarkStart w:id="51" w:name="foot21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"foot_21_place"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21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1"/>
      <w:r w:rsidR="001F7FFC" w:rsidRPr="001F7FFC">
        <w:rPr>
          <w:rFonts w:eastAsia="Times New Roman"/>
          <w:bCs w:val="0"/>
          <w:lang w:eastAsia="hu-HU"/>
        </w:rPr>
        <w:t xml:space="preserve"> A 7. § (2) bekezdése a 289/2010. (XII. 21.) Korm. rendelet 3. § (107) bekezdése, a 351/2010. (XII. 30.) Korm. rendelet 220. § (6) bekezdése, a 23/2012. (II. 29.) Korm. rendelet 36. § (2) bekezdése, a 189/2013. (VI. 7.) Korm. rendelet 6. § (5) bekezdés d) pontja, a 379/2016. (XII. 2.) Korm. rendelet 120. § (4) bekezdés g) pontja szerint módosított szöveg.</w:t>
      </w:r>
    </w:p>
    <w:bookmarkStart w:id="52" w:name="foot22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"foot_22_place"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22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2"/>
      <w:r w:rsidR="001F7FFC" w:rsidRPr="001F7FFC">
        <w:rPr>
          <w:rFonts w:eastAsia="Times New Roman"/>
          <w:bCs w:val="0"/>
          <w:lang w:eastAsia="hu-HU"/>
        </w:rPr>
        <w:t xml:space="preserve"> A 8. § (1) bekezdését a 379/2016. (XII. 2.) Korm. rendelet 120. § (5) bekezdés b) pontja hatályon kívül helyezte.</w:t>
      </w:r>
    </w:p>
    <w:bookmarkStart w:id="53" w:name="foot23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"foot_23_place"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23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3"/>
      <w:r w:rsidR="001F7FFC" w:rsidRPr="001F7FFC">
        <w:rPr>
          <w:rFonts w:eastAsia="Times New Roman"/>
          <w:bCs w:val="0"/>
          <w:lang w:eastAsia="hu-HU"/>
        </w:rPr>
        <w:t xml:space="preserve"> A 8. § (2) bekezdése a 379/2016. (XII. 2.) Korm. rendelet 120. § (3) bekezdésével megállapított szöveg.</w:t>
      </w:r>
    </w:p>
    <w:bookmarkStart w:id="54" w:name="foot24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"foot_24_place"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24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4"/>
      <w:r w:rsidR="001F7FFC" w:rsidRPr="001F7FFC">
        <w:rPr>
          <w:rFonts w:eastAsia="Times New Roman"/>
          <w:bCs w:val="0"/>
          <w:lang w:eastAsia="hu-HU"/>
        </w:rPr>
        <w:t xml:space="preserve"> A 9. § (2) bekezdését a 182/2009. (IX. 10.) Korm. rendelet 641.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-a</w:t>
      </w:r>
      <w:proofErr w:type="spellEnd"/>
      <w:r w:rsidR="001F7FFC" w:rsidRPr="001F7FFC">
        <w:rPr>
          <w:rFonts w:eastAsia="Times New Roman"/>
          <w:bCs w:val="0"/>
          <w:lang w:eastAsia="hu-HU"/>
        </w:rPr>
        <w:t xml:space="preserve"> hatályon kívül helyezte.</w:t>
      </w:r>
    </w:p>
    <w:bookmarkStart w:id="55" w:name="foot25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"foot_25_place"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25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5"/>
      <w:r w:rsidR="001F7FFC" w:rsidRPr="001F7FFC">
        <w:rPr>
          <w:rFonts w:eastAsia="Times New Roman"/>
          <w:bCs w:val="0"/>
          <w:lang w:eastAsia="hu-HU"/>
        </w:rPr>
        <w:t xml:space="preserve"> Az 1. számú melléklet a 182/2009. (IX. 10.) Korm. rendelet 639. § (2) bekezdésével megállapított szöveg. E módosító rendelet 687. § (1) bekezdése alapján a rendelkezést a 2009. október 1. napját követően indult vagy megismételt eljárásokban kell alkalmazni.</w:t>
      </w:r>
    </w:p>
    <w:bookmarkStart w:id="56" w:name="foot26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"foot_26_place"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26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6"/>
      <w:r w:rsidR="001F7FFC" w:rsidRPr="001F7FFC">
        <w:rPr>
          <w:rFonts w:eastAsia="Times New Roman"/>
          <w:bCs w:val="0"/>
          <w:lang w:eastAsia="hu-HU"/>
        </w:rPr>
        <w:t xml:space="preserve"> Az 1. számú </w:t>
      </w:r>
      <w:proofErr w:type="gramStart"/>
      <w:r w:rsidR="001F7FFC" w:rsidRPr="001F7FFC">
        <w:rPr>
          <w:rFonts w:eastAsia="Times New Roman"/>
          <w:bCs w:val="0"/>
          <w:lang w:eastAsia="hu-HU"/>
        </w:rPr>
        <w:t>melléklet nyitó</w:t>
      </w:r>
      <w:proofErr w:type="gramEnd"/>
      <w:r w:rsidR="001F7FFC" w:rsidRPr="001F7FFC">
        <w:rPr>
          <w:rFonts w:eastAsia="Times New Roman"/>
          <w:bCs w:val="0"/>
          <w:lang w:eastAsia="hu-HU"/>
        </w:rPr>
        <w:t xml:space="preserve"> szövegrésze a 457/2017. (XII. 28.) Korm. rendelet 227. § a) pontja szerint módosított szöveg. Alkalmazására lásd e módosító rendelet 618.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-át</w:t>
      </w:r>
      <w:proofErr w:type="spellEnd"/>
      <w:r w:rsidR="001F7FFC" w:rsidRPr="001F7FFC">
        <w:rPr>
          <w:rFonts w:eastAsia="Times New Roman"/>
          <w:bCs w:val="0"/>
          <w:lang w:eastAsia="hu-HU"/>
        </w:rPr>
        <w:t>.</w:t>
      </w:r>
    </w:p>
    <w:bookmarkStart w:id="57" w:name="foot27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"foot_27_place"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27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7"/>
      <w:r w:rsidR="001F7FFC" w:rsidRPr="001F7FFC">
        <w:rPr>
          <w:rFonts w:eastAsia="Times New Roman"/>
          <w:bCs w:val="0"/>
          <w:lang w:eastAsia="hu-HU"/>
        </w:rPr>
        <w:t xml:space="preserve"> Az 1. számú melléklet címe a 457/2017. (XII. 28.) Korm. rendelet 227. § a) pontja szerint módosított szöveg. Alkalmazására lásd e módosító rendelet 618.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-át</w:t>
      </w:r>
      <w:proofErr w:type="spellEnd"/>
      <w:r w:rsidR="001F7FFC" w:rsidRPr="001F7FFC">
        <w:rPr>
          <w:rFonts w:eastAsia="Times New Roman"/>
          <w:bCs w:val="0"/>
          <w:lang w:eastAsia="hu-HU"/>
        </w:rPr>
        <w:t>.</w:t>
      </w:r>
    </w:p>
    <w:bookmarkStart w:id="58" w:name="foot28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"foot_28_place"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28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8"/>
      <w:r w:rsidR="001F7FFC" w:rsidRPr="001F7FFC">
        <w:rPr>
          <w:rFonts w:eastAsia="Times New Roman"/>
          <w:bCs w:val="0"/>
          <w:lang w:eastAsia="hu-HU"/>
        </w:rPr>
        <w:t xml:space="preserve"> Az 1. számú melléklet 1. pontja a 457/2017. (XII. 28.) Korm. rendelet 227. § b) pontja szerint módosított szöveg. Alkalmazására lásd e módosító rendelet 618.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-át</w:t>
      </w:r>
      <w:proofErr w:type="spellEnd"/>
      <w:r w:rsidR="001F7FFC" w:rsidRPr="001F7FFC">
        <w:rPr>
          <w:rFonts w:eastAsia="Times New Roman"/>
          <w:bCs w:val="0"/>
          <w:lang w:eastAsia="hu-HU"/>
        </w:rPr>
        <w:t>.</w:t>
      </w:r>
    </w:p>
    <w:bookmarkStart w:id="59" w:name="foot29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"foot_29_place"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29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59"/>
      <w:r w:rsidR="001F7FFC" w:rsidRPr="001F7FFC">
        <w:rPr>
          <w:rFonts w:eastAsia="Times New Roman"/>
          <w:bCs w:val="0"/>
          <w:lang w:eastAsia="hu-HU"/>
        </w:rPr>
        <w:t xml:space="preserve"> Az 1. számú melléklet 14. pontja a 189/2013. (VI. 7.) Korm. rendelet 6. § (5) bekezdés e) pontja szerint módosított szöveg.</w:t>
      </w:r>
    </w:p>
    <w:bookmarkStart w:id="60" w:name="foot30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"foot_30_place"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30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60"/>
      <w:r w:rsidR="001F7FFC" w:rsidRPr="001F7FFC">
        <w:rPr>
          <w:rFonts w:eastAsia="Times New Roman"/>
          <w:bCs w:val="0"/>
          <w:lang w:eastAsia="hu-HU"/>
        </w:rPr>
        <w:t xml:space="preserve"> Az 1. számú melléklet 18. pontja a 457/2017. (XII. 28.) Korm. rendelet 227. § a) pontja szerint módosított szöveg. Alkalmazására lásd e módosító rendelet 618. §</w:t>
      </w:r>
      <w:proofErr w:type="spellStart"/>
      <w:r w:rsidR="001F7FFC" w:rsidRPr="001F7FFC">
        <w:rPr>
          <w:rFonts w:eastAsia="Times New Roman"/>
          <w:bCs w:val="0"/>
          <w:lang w:eastAsia="hu-HU"/>
        </w:rPr>
        <w:t>-át</w:t>
      </w:r>
      <w:proofErr w:type="spellEnd"/>
      <w:r w:rsidR="001F7FFC" w:rsidRPr="001F7FFC">
        <w:rPr>
          <w:rFonts w:eastAsia="Times New Roman"/>
          <w:bCs w:val="0"/>
          <w:lang w:eastAsia="hu-HU"/>
        </w:rPr>
        <w:t>.</w:t>
      </w:r>
    </w:p>
    <w:bookmarkStart w:id="61" w:name="foot31"/>
    <w:p w:rsidR="001F7FFC" w:rsidRPr="001F7FFC" w:rsidRDefault="00AC1C73" w:rsidP="00800ABD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hu-HU"/>
        </w:rPr>
      </w:pPr>
      <w:r w:rsidRPr="001F7FFC">
        <w:rPr>
          <w:rFonts w:eastAsia="Times New Roman"/>
          <w:bCs w:val="0"/>
          <w:lang w:eastAsia="hu-HU"/>
        </w:rPr>
        <w:lastRenderedPageBreak/>
        <w:fldChar w:fldCharType="begin"/>
      </w:r>
      <w:r w:rsidR="001F7FFC" w:rsidRPr="001F7FFC">
        <w:rPr>
          <w:rFonts w:eastAsia="Times New Roman"/>
          <w:bCs w:val="0"/>
          <w:lang w:eastAsia="hu-HU"/>
        </w:rPr>
        <w:instrText xml:space="preserve"> HYPERLINK "http://njt.hu/cgi_bin/njt_doc.cgi?docid=119570.349944" \l "foot_31_place" </w:instrText>
      </w:r>
      <w:r w:rsidRPr="001F7FFC">
        <w:rPr>
          <w:rFonts w:eastAsia="Times New Roman"/>
          <w:bCs w:val="0"/>
          <w:lang w:eastAsia="hu-HU"/>
        </w:rPr>
        <w:fldChar w:fldCharType="separate"/>
      </w:r>
      <w:r w:rsidR="001F7FFC" w:rsidRPr="001F7FFC">
        <w:rPr>
          <w:rFonts w:eastAsia="Times New Roman"/>
          <w:bCs w:val="0"/>
          <w:color w:val="0000FF"/>
          <w:u w:val="single"/>
          <w:vertAlign w:val="superscript"/>
          <w:lang w:eastAsia="hu-HU"/>
        </w:rPr>
        <w:t>31</w:t>
      </w:r>
      <w:r w:rsidRPr="001F7FFC">
        <w:rPr>
          <w:rFonts w:eastAsia="Times New Roman"/>
          <w:bCs w:val="0"/>
          <w:lang w:eastAsia="hu-HU"/>
        </w:rPr>
        <w:fldChar w:fldCharType="end"/>
      </w:r>
      <w:bookmarkEnd w:id="61"/>
      <w:r w:rsidR="001F7FFC" w:rsidRPr="001F7FFC">
        <w:rPr>
          <w:rFonts w:eastAsia="Times New Roman"/>
          <w:bCs w:val="0"/>
          <w:lang w:eastAsia="hu-HU"/>
        </w:rPr>
        <w:t xml:space="preserve"> A 2. számú melléklet címe a 189/2013. (VI. 7.) Korm. rendelet 6. § (5) bekezdés f) pontja szerint módosított szöveg.</w:t>
      </w:r>
    </w:p>
    <w:p w:rsidR="00ED3849" w:rsidRDefault="00ED3849" w:rsidP="00800ABD"/>
    <w:sectPr w:rsidR="00ED3849" w:rsidSect="00ED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F7FFC"/>
    <w:rsid w:val="001F7FFC"/>
    <w:rsid w:val="00592FC5"/>
    <w:rsid w:val="00800ABD"/>
    <w:rsid w:val="00AC1C73"/>
    <w:rsid w:val="00BB46F5"/>
    <w:rsid w:val="00C85CDB"/>
    <w:rsid w:val="00ED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38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7FFC"/>
    <w:pPr>
      <w:spacing w:before="100" w:beforeAutospacing="1" w:after="100" w:afterAutospacing="1" w:line="240" w:lineRule="auto"/>
    </w:pPr>
    <w:rPr>
      <w:rFonts w:eastAsia="Times New Roman"/>
      <w:bCs w:val="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F7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2935</Words>
  <Characters>20257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dubap</dc:creator>
  <cp:keywords/>
  <dc:description/>
  <cp:lastModifiedBy>Zsidákovits Anna</cp:lastModifiedBy>
  <cp:revision>3</cp:revision>
  <dcterms:created xsi:type="dcterms:W3CDTF">2018-06-14T08:17:00Z</dcterms:created>
  <dcterms:modified xsi:type="dcterms:W3CDTF">2018-06-15T06:55:00Z</dcterms:modified>
</cp:coreProperties>
</file>